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313E8772" w:rsidR="000662EA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7101FA">
        <w:rPr>
          <w:rFonts w:ascii="Cambria" w:hAnsi="Cambria" w:cstheme="minorHAnsi"/>
          <w:b/>
          <w:bCs/>
          <w:sz w:val="22"/>
          <w:szCs w:val="22"/>
          <w:u w:val="single"/>
        </w:rPr>
        <w:t>31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26A61A0D" w14:textId="77777777" w:rsidR="00C055ED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790DA46B" w14:textId="6064AAB5" w:rsidR="00C81405" w:rsidRDefault="007101FA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7101FA">
        <w:rPr>
          <w:rFonts w:ascii="Cambria" w:hAnsi="Cambria" w:cstheme="minorHAnsi"/>
          <w:b/>
          <w:bCs/>
          <w:sz w:val="22"/>
          <w:szCs w:val="22"/>
        </w:rPr>
        <w:t>Projeto de Lei Complementar nº 005/2026</w:t>
      </w:r>
    </w:p>
    <w:p w14:paraId="5D869A0D" w14:textId="167A9E0A" w:rsidR="00D8612B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D8612B" w:rsidRPr="00D8612B">
        <w:rPr>
          <w:rFonts w:ascii="Cambria" w:hAnsi="Cambria" w:cstheme="minorHAnsi"/>
          <w:sz w:val="22"/>
          <w:szCs w:val="22"/>
        </w:rPr>
        <w:t>Mesa Diretora da Câmara Municipal de Carnaúba dos Dantas/RN</w:t>
      </w:r>
    </w:p>
    <w:p w14:paraId="47A0163E" w14:textId="771C06C2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7101FA" w:rsidRPr="007101FA">
        <w:rPr>
          <w:rFonts w:ascii="Cambria" w:hAnsi="Cambria" w:cstheme="minorHAnsi"/>
          <w:sz w:val="22"/>
          <w:szCs w:val="22"/>
        </w:rPr>
        <w:t>Altera o Anexo II da Lei Complementar nº 41, de 20 de setembro de 2023, para estabelecer a equivalência de enquadramento remuneratório do cargo de Analista de Controle Interno ao mesmo nível dos cargos técnicos de nível superior da Câmara Municipal de Carnaúba dos Dantas/RN, e dá outras providências.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579FC3A1" w14:textId="77777777" w:rsidR="007101FA" w:rsidRPr="007101FA" w:rsidRDefault="007101FA" w:rsidP="007101F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7101FA">
        <w:rPr>
          <w:rFonts w:ascii="Cambria" w:hAnsi="Cambria" w:cstheme="minorHAnsi"/>
          <w:sz w:val="22"/>
          <w:szCs w:val="22"/>
        </w:rPr>
        <w:t xml:space="preserve">O Projeto de Lei Complementar nº 005/2026, de iniciativa da Mesa Diretora da Câmara Municipal de Carnaúba dos Dantas/RN, foi encaminhado a esta Casa Legislativa com a finalidade de promover </w:t>
      </w:r>
      <w:r w:rsidRPr="007101FA">
        <w:rPr>
          <w:rFonts w:ascii="Cambria" w:hAnsi="Cambria" w:cstheme="minorHAnsi"/>
          <w:b/>
          <w:bCs/>
          <w:sz w:val="22"/>
          <w:szCs w:val="22"/>
        </w:rPr>
        <w:t>adequação no enquadramento remuneratório do cargo efetivo de Analista de Controle Interno</w:t>
      </w:r>
      <w:r w:rsidRPr="007101FA">
        <w:rPr>
          <w:rFonts w:ascii="Cambria" w:hAnsi="Cambria" w:cstheme="minorHAnsi"/>
          <w:sz w:val="22"/>
          <w:szCs w:val="22"/>
        </w:rPr>
        <w:t>, integrante da estrutura administrativa do Poder Legislativo Municipal.</w:t>
      </w:r>
    </w:p>
    <w:p w14:paraId="2720E82F" w14:textId="77777777" w:rsidR="007101FA" w:rsidRPr="007101FA" w:rsidRDefault="007101FA" w:rsidP="007101F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7101FA">
        <w:rPr>
          <w:rFonts w:ascii="Cambria" w:hAnsi="Cambria" w:cstheme="minorHAnsi"/>
          <w:sz w:val="22"/>
          <w:szCs w:val="22"/>
        </w:rPr>
        <w:t xml:space="preserve">A proposição tem por objetivo promover a alteração do </w:t>
      </w:r>
      <w:r w:rsidRPr="007101FA">
        <w:rPr>
          <w:rFonts w:ascii="Cambria" w:hAnsi="Cambria" w:cstheme="minorHAnsi"/>
          <w:b/>
          <w:bCs/>
          <w:sz w:val="22"/>
          <w:szCs w:val="22"/>
        </w:rPr>
        <w:t>Anexo II da Lei Complementar nº 41/2023</w:t>
      </w:r>
      <w:r w:rsidRPr="007101FA">
        <w:rPr>
          <w:rFonts w:ascii="Cambria" w:hAnsi="Cambria" w:cstheme="minorHAnsi"/>
          <w:sz w:val="22"/>
          <w:szCs w:val="22"/>
        </w:rPr>
        <w:t xml:space="preserve">, estabelecendo nível único de referência remuneratória </w:t>
      </w:r>
      <w:r w:rsidRPr="007101FA">
        <w:rPr>
          <w:rFonts w:ascii="Cambria" w:hAnsi="Cambria" w:cstheme="minorHAnsi"/>
          <w:b/>
          <w:bCs/>
          <w:sz w:val="22"/>
          <w:szCs w:val="22"/>
        </w:rPr>
        <w:t>CE-4</w:t>
      </w:r>
      <w:r w:rsidRPr="007101FA">
        <w:rPr>
          <w:rFonts w:ascii="Cambria" w:hAnsi="Cambria" w:cstheme="minorHAnsi"/>
          <w:sz w:val="22"/>
          <w:szCs w:val="22"/>
        </w:rPr>
        <w:t xml:space="preserve"> para os cargos de </w:t>
      </w:r>
      <w:r w:rsidRPr="007101FA">
        <w:rPr>
          <w:rFonts w:ascii="Cambria" w:hAnsi="Cambria" w:cstheme="minorHAnsi"/>
          <w:b/>
          <w:bCs/>
          <w:sz w:val="22"/>
          <w:szCs w:val="22"/>
        </w:rPr>
        <w:t>Assessor Jurídico, Assessor Contábil e Analista de Controle Interno</w:t>
      </w:r>
      <w:r w:rsidRPr="007101FA">
        <w:rPr>
          <w:rFonts w:ascii="Cambria" w:hAnsi="Cambria" w:cstheme="minorHAnsi"/>
          <w:sz w:val="22"/>
          <w:szCs w:val="22"/>
        </w:rPr>
        <w:t>, reconhecendo a equivalência técnica e funcional entre tais cargos.</w:t>
      </w:r>
    </w:p>
    <w:p w14:paraId="34780DBE" w14:textId="77777777" w:rsidR="007101FA" w:rsidRPr="007101FA" w:rsidRDefault="007101FA" w:rsidP="007101F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7101FA">
        <w:rPr>
          <w:rFonts w:ascii="Cambria" w:hAnsi="Cambria" w:cstheme="minorHAnsi"/>
          <w:sz w:val="22"/>
          <w:szCs w:val="22"/>
        </w:rPr>
        <w:t xml:space="preserve">A medida decorre da necessidade de conferir </w:t>
      </w:r>
      <w:r w:rsidRPr="007101FA">
        <w:rPr>
          <w:rFonts w:ascii="Cambria" w:hAnsi="Cambria" w:cstheme="minorHAnsi"/>
          <w:b/>
          <w:bCs/>
          <w:sz w:val="22"/>
          <w:szCs w:val="22"/>
        </w:rPr>
        <w:t>maior coerência interna à política remuneratória da Câmara Municipal</w:t>
      </w:r>
      <w:r w:rsidRPr="007101FA">
        <w:rPr>
          <w:rFonts w:ascii="Cambria" w:hAnsi="Cambria" w:cstheme="minorHAnsi"/>
          <w:sz w:val="22"/>
          <w:szCs w:val="22"/>
        </w:rPr>
        <w:t>, observando a equivalência material quanto à exigência de formação superior específica, ao grau de responsabilidade funcional, à complexidade técnica das atribuições e à relevância institucional das funções exercidas.</w:t>
      </w:r>
    </w:p>
    <w:p w14:paraId="7CB4147A" w14:textId="77777777" w:rsidR="007101FA" w:rsidRPr="007101FA" w:rsidRDefault="007101FA" w:rsidP="007101F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7101FA">
        <w:rPr>
          <w:rFonts w:ascii="Cambria" w:hAnsi="Cambria" w:cstheme="minorHAnsi"/>
          <w:sz w:val="22"/>
          <w:szCs w:val="22"/>
        </w:rPr>
        <w:t xml:space="preserve">No caso específico do cargo de </w:t>
      </w:r>
      <w:r w:rsidRPr="007101FA">
        <w:rPr>
          <w:rFonts w:ascii="Cambria" w:hAnsi="Cambria" w:cstheme="minorHAnsi"/>
          <w:b/>
          <w:bCs/>
          <w:sz w:val="22"/>
          <w:szCs w:val="22"/>
        </w:rPr>
        <w:t>Analista de Controle Interno</w:t>
      </w:r>
      <w:r w:rsidRPr="007101FA">
        <w:rPr>
          <w:rFonts w:ascii="Cambria" w:hAnsi="Cambria" w:cstheme="minorHAnsi"/>
          <w:sz w:val="22"/>
          <w:szCs w:val="22"/>
        </w:rPr>
        <w:t xml:space="preserve">, a matéria decorre do fortalecimento institucional do Sistema de Controle Interno promovido pela reestruturação </w:t>
      </w:r>
      <w:r w:rsidRPr="007101FA">
        <w:rPr>
          <w:rFonts w:ascii="Cambria" w:hAnsi="Cambria" w:cstheme="minorHAnsi"/>
          <w:sz w:val="22"/>
          <w:szCs w:val="22"/>
        </w:rPr>
        <w:lastRenderedPageBreak/>
        <w:t>administrativa implementada pela Lei Complementar nº 41/2023, que consolidou a natureza técnica permanente das atividades de auditoria, fiscalização, acompanhamento da legalidade administrativa e controle preventivo da gestão pública.</w:t>
      </w:r>
    </w:p>
    <w:p w14:paraId="4F1C0E6E" w14:textId="00B91E6E" w:rsidR="007101FA" w:rsidRPr="007101FA" w:rsidRDefault="007101FA" w:rsidP="007101F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7101FA">
        <w:rPr>
          <w:rFonts w:ascii="Cambria" w:hAnsi="Cambria" w:cstheme="minorHAnsi"/>
          <w:b/>
          <w:bCs/>
          <w:sz w:val="22"/>
          <w:szCs w:val="22"/>
        </w:rPr>
        <w:t>Registre-se que foi realizada análise de impacto financeiro pela Assessoria Contábil da Câmara Municipal, a qual concluiu pela plena viabilidade orçamentária e financeira da medida, atestando sua compatibilidade com as dotações orçamentárias vigentes e com os limites legais estabelecidos pela Lei Complementar nº 101/2000 (Lei de Responsabilidade Fiscal), sem comprometimento do equilíbrio fiscal do Poder Legislativo Municipal.</w:t>
      </w:r>
    </w:p>
    <w:p w14:paraId="514157E8" w14:textId="38AB9E32" w:rsidR="00C055ED" w:rsidRDefault="00D8612B" w:rsidP="00573E4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8612B">
        <w:rPr>
          <w:rFonts w:ascii="Cambria" w:hAnsi="Cambria" w:cstheme="minorHAnsi"/>
          <w:sz w:val="22"/>
          <w:szCs w:val="22"/>
        </w:rPr>
        <w:t xml:space="preserve">Nos termos dos </w:t>
      </w:r>
      <w:proofErr w:type="spellStart"/>
      <w:r w:rsidRPr="00D8612B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D8612B">
        <w:rPr>
          <w:rFonts w:ascii="Cambria" w:hAnsi="Cambria" w:cstheme="minorHAnsi"/>
          <w:b/>
          <w:bCs/>
          <w:sz w:val="22"/>
          <w:szCs w:val="22"/>
        </w:rPr>
        <w:t>. 22 e 23</w:t>
      </w:r>
      <w:r w:rsidRPr="00D8612B">
        <w:rPr>
          <w:rFonts w:ascii="Cambria" w:hAnsi="Cambria" w:cstheme="minorHAnsi"/>
          <w:sz w:val="22"/>
          <w:szCs w:val="22"/>
        </w:rPr>
        <w:t xml:space="preserve"> do Regimento Interno da Câmara Municipal de Carnaúba dos Dantas/RN, a matéria foi devidamente distribuída à Comissão de Constituição, Justiça e Redação Final e à Comissão de Finanças e Orçamento para análise e emissão de parecer</w:t>
      </w:r>
      <w:r>
        <w:rPr>
          <w:rFonts w:ascii="Cambria" w:hAnsi="Cambria" w:cstheme="minorHAnsi"/>
          <w:sz w:val="22"/>
          <w:szCs w:val="22"/>
        </w:rPr>
        <w:t>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0475EDD7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A iniciativa legislativa mostra-se formalmente legítima, por decorrer da competência privativa da </w:t>
      </w:r>
      <w:r w:rsidRPr="00846B6B">
        <w:rPr>
          <w:rFonts w:ascii="Cambria" w:hAnsi="Cambria" w:cstheme="minorHAnsi"/>
          <w:b/>
          <w:bCs/>
          <w:sz w:val="22"/>
          <w:szCs w:val="22"/>
        </w:rPr>
        <w:t>Mesa Diretora da Câmara Municipal</w:t>
      </w:r>
      <w:r w:rsidRPr="00846B6B">
        <w:rPr>
          <w:rFonts w:ascii="Cambria" w:hAnsi="Cambria" w:cstheme="minorHAnsi"/>
          <w:sz w:val="22"/>
          <w:szCs w:val="22"/>
        </w:rPr>
        <w:t xml:space="preserve">, nos termos do </w:t>
      </w:r>
      <w:r w:rsidRPr="00846B6B">
        <w:rPr>
          <w:rFonts w:ascii="Cambria" w:hAnsi="Cambria" w:cstheme="minorHAnsi"/>
          <w:b/>
          <w:bCs/>
          <w:sz w:val="22"/>
          <w:szCs w:val="22"/>
        </w:rPr>
        <w:t>art. 22, inciso III, alínea “c”, da Lei Orgânica Municipal</w:t>
      </w:r>
      <w:r w:rsidRPr="00846B6B">
        <w:rPr>
          <w:rFonts w:ascii="Cambria" w:hAnsi="Cambria" w:cstheme="minorHAnsi"/>
          <w:sz w:val="22"/>
          <w:szCs w:val="22"/>
        </w:rPr>
        <w:t xml:space="preserve">, bem como do </w:t>
      </w:r>
      <w:r w:rsidRPr="00846B6B">
        <w:rPr>
          <w:rFonts w:ascii="Cambria" w:hAnsi="Cambria" w:cstheme="minorHAnsi"/>
          <w:b/>
          <w:bCs/>
          <w:sz w:val="22"/>
          <w:szCs w:val="22"/>
        </w:rPr>
        <w:t>art. 10, inciso II, do Regimento Interno da Câmara Municipal</w:t>
      </w:r>
      <w:r w:rsidRPr="00846B6B">
        <w:rPr>
          <w:rFonts w:ascii="Cambria" w:hAnsi="Cambria" w:cstheme="minorHAnsi"/>
          <w:sz w:val="22"/>
          <w:szCs w:val="22"/>
        </w:rPr>
        <w:t>, dispositivos que atribuem ao Poder Legislativo autonomia para propor normas relativas à sua estrutura administrativa, política remuneratória e organização funcional.</w:t>
      </w:r>
    </w:p>
    <w:p w14:paraId="3B321178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Referida prerrogativa decorre diretamente do </w:t>
      </w:r>
      <w:r w:rsidRPr="00846B6B">
        <w:rPr>
          <w:rFonts w:ascii="Cambria" w:hAnsi="Cambria" w:cstheme="minorHAnsi"/>
          <w:b/>
          <w:bCs/>
          <w:sz w:val="22"/>
          <w:szCs w:val="22"/>
        </w:rPr>
        <w:t>princípio constitucional da separação e independência entre os Poderes</w:t>
      </w:r>
      <w:r w:rsidRPr="00846B6B">
        <w:rPr>
          <w:rFonts w:ascii="Cambria" w:hAnsi="Cambria" w:cstheme="minorHAnsi"/>
          <w:sz w:val="22"/>
          <w:szCs w:val="22"/>
        </w:rPr>
        <w:t xml:space="preserve">, consagrado no </w:t>
      </w:r>
      <w:r w:rsidRPr="00846B6B">
        <w:rPr>
          <w:rFonts w:ascii="Cambria" w:hAnsi="Cambria" w:cstheme="minorHAnsi"/>
          <w:b/>
          <w:bCs/>
          <w:sz w:val="22"/>
          <w:szCs w:val="22"/>
        </w:rPr>
        <w:t>art. 2º da Constituição Federal</w:t>
      </w:r>
      <w:r w:rsidRPr="00846B6B">
        <w:rPr>
          <w:rFonts w:ascii="Cambria" w:hAnsi="Cambria" w:cstheme="minorHAnsi"/>
          <w:sz w:val="22"/>
          <w:szCs w:val="22"/>
        </w:rPr>
        <w:t>, o qual assegura ao Poder Legislativo autonomia administrativa, financeira e organizacional para disciplinar seu funcionamento interno, observados os limites constitucionais e legais aplicáveis.</w:t>
      </w:r>
    </w:p>
    <w:p w14:paraId="0AD5038F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Sob o aspecto material, a proposição revela plena compatibilidade com os princípios que regem a Administração Pública, especialmente aqueles previstos no </w:t>
      </w:r>
      <w:r w:rsidRPr="00846B6B">
        <w:rPr>
          <w:rFonts w:ascii="Cambria" w:hAnsi="Cambria" w:cstheme="minorHAnsi"/>
          <w:b/>
          <w:bCs/>
          <w:sz w:val="22"/>
          <w:szCs w:val="22"/>
        </w:rPr>
        <w:t xml:space="preserve">art. 37, caput, da </w:t>
      </w:r>
      <w:r w:rsidRPr="00846B6B">
        <w:rPr>
          <w:rFonts w:ascii="Cambria" w:hAnsi="Cambria" w:cstheme="minorHAnsi"/>
          <w:b/>
          <w:bCs/>
          <w:sz w:val="22"/>
          <w:szCs w:val="22"/>
        </w:rPr>
        <w:lastRenderedPageBreak/>
        <w:t>Constituição Federal</w:t>
      </w:r>
      <w:r w:rsidRPr="00846B6B">
        <w:rPr>
          <w:rFonts w:ascii="Cambria" w:hAnsi="Cambria" w:cstheme="minorHAnsi"/>
          <w:sz w:val="22"/>
          <w:szCs w:val="22"/>
        </w:rPr>
        <w:t xml:space="preserve">, notadamente os princípios da </w:t>
      </w:r>
      <w:r w:rsidRPr="00846B6B">
        <w:rPr>
          <w:rFonts w:ascii="Cambria" w:hAnsi="Cambria" w:cstheme="minorHAnsi"/>
          <w:b/>
          <w:bCs/>
          <w:sz w:val="22"/>
          <w:szCs w:val="22"/>
        </w:rPr>
        <w:t>legalidade, impessoalidade, moralidade, publicidade e eficiência</w:t>
      </w:r>
      <w:r w:rsidRPr="00846B6B">
        <w:rPr>
          <w:rFonts w:ascii="Cambria" w:hAnsi="Cambria" w:cstheme="minorHAnsi"/>
          <w:sz w:val="22"/>
          <w:szCs w:val="22"/>
        </w:rPr>
        <w:t>, ao promover adequação remuneratória fundada em critérios objetivos e impessoais de equivalência funcional.</w:t>
      </w:r>
    </w:p>
    <w:p w14:paraId="28F64C0F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>A proposta não institui privilégio funcional, tampouco promove tratamento remuneratório arbitrário, uma vez que a alteração legislativa se fundamenta na equivalência técnica entre cargos efetivos de nível superior já existentes na estrutura administrativa da Câmara Municipal, considerando a identidade quanto ao grau de escolaridade exigido, à complexidade técnica das atribuições, ao elevado nível de responsabilidade institucional e à autonomia técnica inerente ao desempenho das respectivas funções.</w:t>
      </w:r>
    </w:p>
    <w:p w14:paraId="0BD09D64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No caso específico do cargo de </w:t>
      </w:r>
      <w:r w:rsidRPr="00846B6B">
        <w:rPr>
          <w:rFonts w:ascii="Cambria" w:hAnsi="Cambria" w:cstheme="minorHAnsi"/>
          <w:b/>
          <w:bCs/>
          <w:sz w:val="22"/>
          <w:szCs w:val="22"/>
        </w:rPr>
        <w:t>Analista de Controle Interno</w:t>
      </w:r>
      <w:r w:rsidRPr="00846B6B">
        <w:rPr>
          <w:rFonts w:ascii="Cambria" w:hAnsi="Cambria" w:cstheme="minorHAnsi"/>
          <w:sz w:val="22"/>
          <w:szCs w:val="22"/>
        </w:rPr>
        <w:t xml:space="preserve">, a medida encontra fundamento adicional nos </w:t>
      </w:r>
      <w:proofErr w:type="spellStart"/>
      <w:r w:rsidRPr="00846B6B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846B6B">
        <w:rPr>
          <w:rFonts w:ascii="Cambria" w:hAnsi="Cambria" w:cstheme="minorHAnsi"/>
          <w:b/>
          <w:bCs/>
          <w:sz w:val="22"/>
          <w:szCs w:val="22"/>
        </w:rPr>
        <w:t>. 31, 70 e 74 da Constituição Federal</w:t>
      </w:r>
      <w:r w:rsidRPr="00846B6B">
        <w:rPr>
          <w:rFonts w:ascii="Cambria" w:hAnsi="Cambria" w:cstheme="minorHAnsi"/>
          <w:sz w:val="22"/>
          <w:szCs w:val="22"/>
        </w:rPr>
        <w:t>, que estabelecem a obrigatoriedade da fiscalização contábil, financeira, orçamentária, operacional e patrimonial da Administração Pública, bem como a manutenção de sistema de controle interno eficiente, tecnicamente qualificado e apto ao exercício permanente de fiscalização preventiva e corretiva.</w:t>
      </w:r>
    </w:p>
    <w:p w14:paraId="5D32B2CF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>A valorização remuneratória compatível com a relevância institucional dessas atribuições mostra-se medida juridicamente legítima e administrativamente necessária ao fortalecimento da governança pública, da transparência administrativa e da regularidade dos atos de gestão.</w:t>
      </w:r>
    </w:p>
    <w:p w14:paraId="7D0292DA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Importa destacar que a proposição </w:t>
      </w:r>
      <w:r w:rsidRPr="00846B6B">
        <w:rPr>
          <w:rFonts w:ascii="Cambria" w:hAnsi="Cambria" w:cstheme="minorHAnsi"/>
          <w:b/>
          <w:bCs/>
          <w:sz w:val="22"/>
          <w:szCs w:val="22"/>
        </w:rPr>
        <w:t>não cria cargos públicos, não extingue funções existentes, não altera quantitativo funcional nem promove modificação estrutural na organização administrativa da Câmara Municipal</w:t>
      </w:r>
      <w:r w:rsidRPr="00846B6B">
        <w:rPr>
          <w:rFonts w:ascii="Cambria" w:hAnsi="Cambria" w:cstheme="minorHAnsi"/>
          <w:sz w:val="22"/>
          <w:szCs w:val="22"/>
        </w:rPr>
        <w:t>, limitando-se à revisão do enquadramento remuneratório de cargo efetivo já previsto em lei, o que afasta qualquer necessidade de reorganização administrativa ou redimensionamento institucional.</w:t>
      </w:r>
    </w:p>
    <w:p w14:paraId="66C8A55C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lastRenderedPageBreak/>
        <w:t xml:space="preserve">No plano infraconstitucional, a matéria encontra respaldo na </w:t>
      </w:r>
      <w:r w:rsidRPr="00846B6B">
        <w:rPr>
          <w:rFonts w:ascii="Cambria" w:hAnsi="Cambria" w:cstheme="minorHAnsi"/>
          <w:b/>
          <w:bCs/>
          <w:sz w:val="22"/>
          <w:szCs w:val="22"/>
        </w:rPr>
        <w:t>Lei Complementar nº 101/2000 (Lei de Responsabilidade Fiscal)</w:t>
      </w:r>
      <w:r w:rsidRPr="00846B6B">
        <w:rPr>
          <w:rFonts w:ascii="Cambria" w:hAnsi="Cambria" w:cstheme="minorHAnsi"/>
          <w:sz w:val="22"/>
          <w:szCs w:val="22"/>
        </w:rPr>
        <w:t>, especialmente quanto à observância dos limites legais de despesa com pessoal e à necessidade de responsabilidade na gestão fiscal.</w:t>
      </w:r>
    </w:p>
    <w:p w14:paraId="3A7CB77A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Nesse ponto, registra-se que a matéria foi submetida à análise técnica da </w:t>
      </w:r>
      <w:r w:rsidRPr="00846B6B">
        <w:rPr>
          <w:rFonts w:ascii="Cambria" w:hAnsi="Cambria" w:cstheme="minorHAnsi"/>
          <w:b/>
          <w:bCs/>
          <w:sz w:val="22"/>
          <w:szCs w:val="22"/>
        </w:rPr>
        <w:t>Assessoria Contábil da Câmara Municipal</w:t>
      </w:r>
      <w:r w:rsidRPr="00846B6B">
        <w:rPr>
          <w:rFonts w:ascii="Cambria" w:hAnsi="Cambria" w:cstheme="minorHAnsi"/>
          <w:sz w:val="22"/>
          <w:szCs w:val="22"/>
        </w:rPr>
        <w:t>, que concluiu pela plena compatibilidade financeira da medida com as dotações orçamentárias vigentes, atestando a inexistência de impacto capaz de comprometer o equilíbrio fiscal ou ultrapassar os limites legais de despesa com pessoal previstos na legislação fiscal.</w:t>
      </w:r>
    </w:p>
    <w:p w14:paraId="5D97A33A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A medida também se harmoniza com os princípios da </w:t>
      </w:r>
      <w:r w:rsidRPr="00846B6B">
        <w:rPr>
          <w:rFonts w:ascii="Cambria" w:hAnsi="Cambria" w:cstheme="minorHAnsi"/>
          <w:b/>
          <w:bCs/>
          <w:sz w:val="22"/>
          <w:szCs w:val="22"/>
        </w:rPr>
        <w:t>razoabilidade administrativa, proporcionalidade e isonomia remuneratória</w:t>
      </w:r>
      <w:r w:rsidRPr="00846B6B">
        <w:rPr>
          <w:rFonts w:ascii="Cambria" w:hAnsi="Cambria" w:cstheme="minorHAnsi"/>
          <w:sz w:val="22"/>
          <w:szCs w:val="22"/>
        </w:rPr>
        <w:t>, amplamente reconhecidos pela jurisprudência pátria como parâmetros legítimos de conformação legislativa da política remuneratória da Administração Pública, desde que fundada em critérios objetivos e observada a disponibilidade orçamentária, requisitos plenamente atendidos na presente proposição.</w:t>
      </w:r>
    </w:p>
    <w:p w14:paraId="1D5DD518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Ademais, a técnica legislativa empregada mostra-se adequada, observando os parâmetros de clareza, precisão normativa e coerência sistêmica exigidos pela </w:t>
      </w:r>
      <w:r w:rsidRPr="00846B6B">
        <w:rPr>
          <w:rFonts w:ascii="Cambria" w:hAnsi="Cambria" w:cstheme="minorHAnsi"/>
          <w:b/>
          <w:bCs/>
          <w:sz w:val="22"/>
          <w:szCs w:val="22"/>
        </w:rPr>
        <w:t>Lei Complementar nº 95/1998</w:t>
      </w:r>
      <w:r w:rsidRPr="00846B6B">
        <w:rPr>
          <w:rFonts w:ascii="Cambria" w:hAnsi="Cambria" w:cstheme="minorHAnsi"/>
          <w:sz w:val="22"/>
          <w:szCs w:val="22"/>
        </w:rPr>
        <w:t>, inexistindo vícios formais ou materiais capazes de comprometer sua validade jurídica.</w:t>
      </w:r>
    </w:p>
    <w:p w14:paraId="33C4B836" w14:textId="77777777" w:rsidR="00846B6B" w:rsidRPr="00846B6B" w:rsidRDefault="00846B6B" w:rsidP="00846B6B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Diante do exposto, </w:t>
      </w:r>
      <w:r w:rsidRPr="00846B6B">
        <w:rPr>
          <w:rFonts w:ascii="Cambria" w:hAnsi="Cambria" w:cstheme="minorHAnsi"/>
          <w:b/>
          <w:bCs/>
          <w:sz w:val="22"/>
          <w:szCs w:val="22"/>
        </w:rPr>
        <w:t>não se verifica qualquer vício de constitucionalidade, legalidade, juridicidade, iniciativa legislativa ou técnica normativa</w:t>
      </w:r>
      <w:r w:rsidRPr="00846B6B">
        <w:rPr>
          <w:rFonts w:ascii="Cambria" w:hAnsi="Cambria" w:cstheme="minorHAnsi"/>
          <w:sz w:val="22"/>
          <w:szCs w:val="22"/>
        </w:rPr>
        <w:t>, razão pela qual a proposição encontra-se plenamente apta à regular tramitação e deliberação plenária.</w:t>
      </w:r>
    </w:p>
    <w:p w14:paraId="55077D2A" w14:textId="77777777" w:rsidR="00D8612B" w:rsidRDefault="00D8612B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67B20B97" w14:textId="77777777" w:rsidR="00846B6B" w:rsidRPr="00846B6B" w:rsidRDefault="00846B6B" w:rsidP="00846B6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 xml:space="preserve">Sob o aspecto administrativo, a proposição mostra-se </w:t>
      </w:r>
      <w:r w:rsidRPr="00846B6B">
        <w:rPr>
          <w:rFonts w:ascii="Cambria" w:hAnsi="Cambria" w:cstheme="minorHAnsi"/>
          <w:b/>
          <w:bCs/>
          <w:sz w:val="22"/>
          <w:szCs w:val="22"/>
        </w:rPr>
        <w:t>oportuna e adequada</w:t>
      </w:r>
      <w:r w:rsidRPr="00846B6B">
        <w:rPr>
          <w:rFonts w:ascii="Cambria" w:hAnsi="Cambria" w:cstheme="minorHAnsi"/>
          <w:sz w:val="22"/>
          <w:szCs w:val="22"/>
        </w:rPr>
        <w:t>, pois promove a correção de distorção remuneratória interna, assegurando maior coerência entre cargos efetivos técnicos de nível superior da estrutura administrativa da Câmara Municipal.</w:t>
      </w:r>
    </w:p>
    <w:p w14:paraId="347387C8" w14:textId="77777777" w:rsidR="00846B6B" w:rsidRPr="00846B6B" w:rsidRDefault="00846B6B" w:rsidP="00846B6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lastRenderedPageBreak/>
        <w:t xml:space="preserve">A medida valoriza o cargo de </w:t>
      </w:r>
      <w:r w:rsidRPr="00846B6B">
        <w:rPr>
          <w:rFonts w:ascii="Cambria" w:hAnsi="Cambria" w:cstheme="minorHAnsi"/>
          <w:b/>
          <w:bCs/>
          <w:sz w:val="22"/>
          <w:szCs w:val="22"/>
        </w:rPr>
        <w:t>Analista de Controle Interno</w:t>
      </w:r>
      <w:r w:rsidRPr="00846B6B">
        <w:rPr>
          <w:rFonts w:ascii="Cambria" w:hAnsi="Cambria" w:cstheme="minorHAnsi"/>
          <w:sz w:val="22"/>
          <w:szCs w:val="22"/>
        </w:rPr>
        <w:t>, fortalece a estrutura técnica permanente do Poder Legislativo e contribui para o aprimoramento da eficiência administrativa e da governança institucional.</w:t>
      </w:r>
    </w:p>
    <w:p w14:paraId="4F2CDB06" w14:textId="77777777" w:rsidR="00846B6B" w:rsidRPr="00846B6B" w:rsidRDefault="00846B6B" w:rsidP="00846B6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846B6B">
        <w:rPr>
          <w:rFonts w:ascii="Cambria" w:hAnsi="Cambria" w:cstheme="minorHAnsi"/>
          <w:sz w:val="22"/>
          <w:szCs w:val="22"/>
        </w:rPr>
        <w:t>Trata-se de ajuste remuneratório legítimo, compatível com o interesse público e com a boa organização administrativa da Casa Legislativa.</w:t>
      </w:r>
    </w:p>
    <w:p w14:paraId="0C408699" w14:textId="77777777" w:rsidR="00C055ED" w:rsidRPr="00107BD9" w:rsidRDefault="00C055ED" w:rsidP="00107BD9">
      <w:pPr>
        <w:pStyle w:val="PargrafodaLista"/>
        <w:spacing w:line="480" w:lineRule="auto"/>
        <w:ind w:left="142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7CB4D5BE" w:rsidR="003B7C64" w:rsidRDefault="00170B83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</w:t>
      </w:r>
      <w:r w:rsidRPr="00170B83">
        <w:rPr>
          <w:rFonts w:ascii="Cambria" w:hAnsi="Cambria" w:cstheme="minorHAnsi"/>
          <w:b/>
          <w:bCs/>
          <w:sz w:val="22"/>
          <w:szCs w:val="22"/>
        </w:rPr>
        <w:t>Bárbara de Medeiros Dantas (Presidente), José Gilvan Dantas (Relator)</w:t>
      </w:r>
      <w:r w:rsidRPr="00170B83">
        <w:rPr>
          <w:rFonts w:ascii="Cambria" w:hAnsi="Cambria" w:cstheme="minorHAnsi"/>
          <w:sz w:val="22"/>
          <w:szCs w:val="22"/>
        </w:rPr>
        <w:t xml:space="preserve"> e </w:t>
      </w:r>
      <w:r w:rsidRPr="00170B83">
        <w:rPr>
          <w:rFonts w:ascii="Cambria" w:hAnsi="Cambria" w:cstheme="minorHAnsi"/>
          <w:b/>
          <w:bCs/>
          <w:sz w:val="22"/>
          <w:szCs w:val="22"/>
        </w:rPr>
        <w:t>Maria das Vitórias Bezerra Dantas (Secretária)</w:t>
      </w:r>
      <w:r w:rsidRPr="00170B83">
        <w:rPr>
          <w:rFonts w:ascii="Cambria" w:hAnsi="Cambria" w:cstheme="minorHAnsi"/>
          <w:sz w:val="22"/>
          <w:szCs w:val="22"/>
        </w:rPr>
        <w:t xml:space="preserve">; a Comissão de Finanças e Orçamento, composta pelos Vereadores(as) </w:t>
      </w:r>
      <w:proofErr w:type="spellStart"/>
      <w:r w:rsidRPr="00170B83">
        <w:rPr>
          <w:rFonts w:ascii="Cambria" w:hAnsi="Cambria" w:cstheme="minorHAnsi"/>
          <w:b/>
          <w:bCs/>
          <w:sz w:val="22"/>
          <w:szCs w:val="22"/>
        </w:rPr>
        <w:t>Jemmifran</w:t>
      </w:r>
      <w:proofErr w:type="spellEnd"/>
      <w:r w:rsidRPr="00170B83">
        <w:rPr>
          <w:rFonts w:ascii="Cambria" w:hAnsi="Cambria" w:cstheme="minorHAnsi"/>
          <w:b/>
          <w:bCs/>
          <w:sz w:val="22"/>
          <w:szCs w:val="22"/>
        </w:rPr>
        <w:t xml:space="preserve"> da Silva Dantas (Presidente), Bárbara de Medeiros Dantas (Relatora)</w:t>
      </w:r>
      <w:r w:rsidRPr="00170B83">
        <w:rPr>
          <w:rFonts w:ascii="Cambria" w:hAnsi="Cambria" w:cstheme="minorHAnsi"/>
          <w:sz w:val="22"/>
          <w:szCs w:val="22"/>
        </w:rPr>
        <w:t xml:space="preserve"> e </w:t>
      </w:r>
      <w:r w:rsidRPr="00170B83">
        <w:rPr>
          <w:rFonts w:ascii="Cambria" w:hAnsi="Cambria" w:cstheme="minorHAnsi"/>
          <w:b/>
          <w:bCs/>
          <w:sz w:val="22"/>
          <w:szCs w:val="22"/>
        </w:rPr>
        <w:t>Jardel Dantas da Silva (Secretário)</w:t>
      </w:r>
      <w:r w:rsidRPr="00170B83">
        <w:rPr>
          <w:rFonts w:ascii="Cambria" w:hAnsi="Cambria" w:cstheme="minorHAnsi"/>
          <w:sz w:val="22"/>
          <w:szCs w:val="22"/>
        </w:rPr>
        <w:t xml:space="preserve">; </w:t>
      </w:r>
      <w:r w:rsidR="007101FA" w:rsidRPr="007101FA">
        <w:rPr>
          <w:rFonts w:ascii="Cambria" w:hAnsi="Cambria" w:cstheme="minorHAnsi"/>
          <w:sz w:val="22"/>
          <w:szCs w:val="22"/>
        </w:rPr>
        <w:t xml:space="preserve">analisaram </w:t>
      </w:r>
      <w:r w:rsidR="007101FA" w:rsidRPr="007101FA">
        <w:rPr>
          <w:rFonts w:ascii="Cambria" w:hAnsi="Cambria" w:cstheme="minorHAnsi"/>
          <w:b/>
          <w:bCs/>
          <w:sz w:val="22"/>
          <w:szCs w:val="22"/>
        </w:rPr>
        <w:t>o Projeto de Lei Complementar nº 005/2026</w:t>
      </w:r>
      <w:r w:rsidR="007101FA" w:rsidRPr="007101FA">
        <w:rPr>
          <w:rFonts w:ascii="Cambria" w:hAnsi="Cambria" w:cstheme="minorHAnsi"/>
          <w:sz w:val="22"/>
          <w:szCs w:val="22"/>
        </w:rPr>
        <w:t>, de autoria da Mesa Diretora da Câmara Municipal.</w:t>
      </w:r>
    </w:p>
    <w:p w14:paraId="0E7D6972" w14:textId="1E5390E1" w:rsidR="00107BD9" w:rsidRDefault="00D8612B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D8612B">
        <w:rPr>
          <w:rFonts w:ascii="Cambria" w:hAnsi="Cambria" w:cstheme="minorHAnsi"/>
          <w:sz w:val="22"/>
          <w:szCs w:val="22"/>
        </w:rPr>
        <w:t>A análise foi realizada sob os aspectos da constitucionalidade, legalidade, técnica legislativa, impacto administrativo e adequação orçamentária da matéria</w:t>
      </w:r>
      <w:r w:rsidR="00170B83" w:rsidRPr="00170B83">
        <w:rPr>
          <w:rFonts w:ascii="Cambria" w:hAnsi="Cambria" w:cstheme="minorHAnsi"/>
          <w:sz w:val="22"/>
          <w:szCs w:val="22"/>
        </w:rPr>
        <w:t xml:space="preserve">. </w:t>
      </w:r>
      <w:r w:rsidRPr="00D8612B">
        <w:rPr>
          <w:rFonts w:ascii="Cambria" w:hAnsi="Cambria" w:cstheme="minorHAnsi"/>
          <w:sz w:val="22"/>
          <w:szCs w:val="22"/>
        </w:rPr>
        <w:t xml:space="preserve">Diante disso, os Relatores das referidas </w:t>
      </w:r>
      <w:r w:rsidRPr="00D8612B">
        <w:rPr>
          <w:rFonts w:ascii="Cambria" w:hAnsi="Cambria" w:cstheme="minorHAnsi"/>
          <w:b/>
          <w:bCs/>
          <w:sz w:val="22"/>
          <w:szCs w:val="22"/>
        </w:rPr>
        <w:t xml:space="preserve">Comissões </w:t>
      </w:r>
      <w:r w:rsidR="00182A38" w:rsidRPr="00182A38">
        <w:rPr>
          <w:rFonts w:ascii="Cambria" w:hAnsi="Cambria" w:cstheme="minorHAnsi"/>
          <w:b/>
          <w:bCs/>
          <w:sz w:val="22"/>
          <w:szCs w:val="22"/>
        </w:rPr>
        <w:t xml:space="preserve">emitem parecer favorável à </w:t>
      </w:r>
      <w:proofErr w:type="spellStart"/>
      <w:r w:rsidR="00182A38" w:rsidRPr="00182A38">
        <w:rPr>
          <w:rFonts w:ascii="Cambria" w:hAnsi="Cambria" w:cstheme="minorHAnsi"/>
          <w:b/>
          <w:bCs/>
          <w:sz w:val="22"/>
          <w:szCs w:val="22"/>
        </w:rPr>
        <w:t>tramitação</w:t>
      </w:r>
      <w:r w:rsidR="007101FA" w:rsidRPr="007101FA">
        <w:rPr>
          <w:rFonts w:ascii="Cambria" w:hAnsi="Cambria" w:cstheme="minorHAnsi"/>
          <w:b/>
          <w:bCs/>
          <w:sz w:val="22"/>
          <w:szCs w:val="22"/>
        </w:rPr>
        <w:t>e</w:t>
      </w:r>
      <w:proofErr w:type="spellEnd"/>
      <w:r w:rsidR="007101FA" w:rsidRPr="007101FA">
        <w:rPr>
          <w:rFonts w:ascii="Cambria" w:hAnsi="Cambria" w:cstheme="minorHAnsi"/>
          <w:b/>
          <w:bCs/>
          <w:sz w:val="22"/>
          <w:szCs w:val="22"/>
        </w:rPr>
        <w:t xml:space="preserve"> aprovação do Projeto de Lei Complementar nº 005/2026.</w:t>
      </w:r>
    </w:p>
    <w:p w14:paraId="7EC380BA" w14:textId="77777777" w:rsidR="00107BD9" w:rsidRPr="00107BD9" w:rsidRDefault="00107BD9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06451AF6" w14:textId="392EE920" w:rsidR="00573E41" w:rsidRDefault="000662EA" w:rsidP="00573E41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7101FA">
        <w:rPr>
          <w:rFonts w:ascii="Cambria" w:hAnsi="Cambria" w:cstheme="minorHAnsi"/>
          <w:sz w:val="22"/>
          <w:szCs w:val="22"/>
        </w:rPr>
        <w:t>19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7101FA">
        <w:rPr>
          <w:rFonts w:ascii="Cambria" w:hAnsi="Cambria" w:cstheme="minorHAnsi"/>
          <w:sz w:val="22"/>
          <w:szCs w:val="22"/>
        </w:rPr>
        <w:t xml:space="preserve">maio 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2BB78486" w14:textId="77777777" w:rsidR="00573E41" w:rsidRPr="00107BD9" w:rsidRDefault="00573E41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34A21300" w14:textId="77777777" w:rsidR="005353CC" w:rsidRPr="00107BD9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077522" w14:textId="77777777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lastRenderedPageBreak/>
        <w:t>_____________________________________</w:t>
      </w:r>
    </w:p>
    <w:p w14:paraId="1269B097" w14:textId="77777777" w:rsidR="00E54691" w:rsidRPr="00107BD9" w:rsidRDefault="00E54691" w:rsidP="005353CC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3CC9E71B" w14:textId="72D2AEE4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Relatora da Comissão de</w:t>
      </w:r>
    </w:p>
    <w:p w14:paraId="28B3C87B" w14:textId="2EC6FA1A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  <w:r w:rsidR="004E37C2">
        <w:rPr>
          <w:rFonts w:ascii="Cambria" w:hAnsi="Cambria" w:cstheme="minorHAnsi"/>
          <w:sz w:val="22"/>
          <w:szCs w:val="22"/>
        </w:rPr>
        <w:t xml:space="preserve"> e Presidente</w:t>
      </w:r>
      <w:r w:rsidR="004E37C2">
        <w:rPr>
          <w:rFonts w:ascii="Cambria" w:hAnsi="Cambria" w:cstheme="minorHAnsi"/>
          <w:sz w:val="22"/>
          <w:szCs w:val="22"/>
        </w:rPr>
        <w:br/>
        <w:t xml:space="preserve">da </w:t>
      </w:r>
      <w:r w:rsidR="004E37C2" w:rsidRPr="00170B83">
        <w:rPr>
          <w:rFonts w:ascii="Cambria" w:hAnsi="Cambria" w:cstheme="minorHAnsi"/>
          <w:sz w:val="22"/>
          <w:szCs w:val="22"/>
        </w:rPr>
        <w:t>Comissão de Constituição, Justiça e Redação Final</w:t>
      </w:r>
    </w:p>
    <w:p w14:paraId="0C013288" w14:textId="77777777" w:rsidR="00170B83" w:rsidRDefault="00170B83" w:rsidP="00073118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426A039E" w14:textId="77777777" w:rsidR="003B7C64" w:rsidRPr="00107BD9" w:rsidRDefault="003B7C64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5F94CA84" w14:textId="16A67412" w:rsidR="00573E41" w:rsidRPr="007101FA" w:rsidRDefault="00170B83" w:rsidP="007101F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Em consonância com as leis vigentes, manifestam-se as três Comissões Permanentes, por maioria dos votos, </w:t>
      </w:r>
      <w:r w:rsidR="00073118" w:rsidRPr="00073118">
        <w:rPr>
          <w:rFonts w:ascii="Cambria" w:hAnsi="Cambria" w:cstheme="minorHAnsi"/>
          <w:b/>
          <w:bCs/>
          <w:sz w:val="22"/>
          <w:szCs w:val="22"/>
        </w:rPr>
        <w:t xml:space="preserve">PELA APROVAÇÃO </w:t>
      </w:r>
      <w:r w:rsidR="007101FA" w:rsidRPr="007101FA">
        <w:rPr>
          <w:rFonts w:ascii="Cambria" w:hAnsi="Cambria" w:cstheme="minorHAnsi"/>
          <w:b/>
          <w:bCs/>
          <w:sz w:val="22"/>
          <w:szCs w:val="22"/>
        </w:rPr>
        <w:t>do Projeto de Lei Complementar nº 005/2026, acompanhando integralmente o parecer de seus Relatores.</w:t>
      </w:r>
    </w:p>
    <w:p w14:paraId="7ABC83BD" w14:textId="77777777" w:rsidR="00FD37DC" w:rsidRPr="00107BD9" w:rsidRDefault="00FD37DC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DF52841" w14:textId="1325479C" w:rsidR="00182A38" w:rsidRDefault="00182A38" w:rsidP="00182A38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7101FA">
        <w:rPr>
          <w:rFonts w:ascii="Cambria" w:hAnsi="Cambria" w:cstheme="minorHAnsi"/>
          <w:sz w:val="22"/>
          <w:szCs w:val="22"/>
        </w:rPr>
        <w:t>19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7101FA">
        <w:rPr>
          <w:rFonts w:ascii="Cambria" w:hAnsi="Cambria" w:cstheme="minorHAnsi"/>
          <w:sz w:val="22"/>
          <w:szCs w:val="22"/>
        </w:rPr>
        <w:t>maio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083F1B6E" w:rsidR="00654CA7" w:rsidRPr="00107BD9" w:rsidRDefault="00FD6CE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1977949E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142AD041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3BD21BE5" w14:textId="77777777" w:rsidR="00107BD9" w:rsidRPr="00107BD9" w:rsidRDefault="00107BD9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6519A217" w14:textId="77777777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551F179B" w14:textId="77777777" w:rsidR="00E54691" w:rsidRPr="00107BD9" w:rsidRDefault="00E54691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JEMMIFRAN DA SILVA DANTAS</w:t>
      </w:r>
    </w:p>
    <w:p w14:paraId="33E54585" w14:textId="346FFDE1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Presidente da Comissão de</w:t>
      </w:r>
    </w:p>
    <w:p w14:paraId="7DA8C466" w14:textId="77777777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</w:p>
    <w:p w14:paraId="29083DB1" w14:textId="77777777" w:rsidR="00662EB7" w:rsidRPr="00107BD9" w:rsidRDefault="00662EB7" w:rsidP="00073118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29AAFFF7" w14:textId="77777777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341E2635" w14:textId="77777777" w:rsidR="00E54691" w:rsidRPr="00107BD9" w:rsidRDefault="00E54691" w:rsidP="005353CC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JARDEL DANTAS DA SILVA</w:t>
      </w:r>
    </w:p>
    <w:p w14:paraId="185CC0AE" w14:textId="0FC4BC08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Secretário da Comissão de</w:t>
      </w:r>
    </w:p>
    <w:p w14:paraId="39589D51" w14:textId="5222D0E4" w:rsidR="00E54691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</w:p>
    <w:p w14:paraId="0672188D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2E9E278E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7B8C3859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2803D0D4" w14:textId="77777777" w:rsidR="00170B83" w:rsidRPr="00107BD9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6A11F727" w14:textId="77777777" w:rsidR="00E54691" w:rsidRPr="00107BD9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lastRenderedPageBreak/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51162898" w14:textId="1C29E195" w:rsidR="00182A38" w:rsidRDefault="00182A38" w:rsidP="00182A38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7101FA">
        <w:rPr>
          <w:rFonts w:ascii="Cambria" w:hAnsi="Cambria" w:cstheme="minorHAnsi"/>
          <w:sz w:val="22"/>
          <w:szCs w:val="22"/>
        </w:rPr>
        <w:t>19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7101FA">
        <w:rPr>
          <w:rFonts w:ascii="Cambria" w:hAnsi="Cambria" w:cstheme="minorHAnsi"/>
          <w:sz w:val="22"/>
          <w:szCs w:val="22"/>
        </w:rPr>
        <w:t>maio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1E280578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124B23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376E2" w14:textId="77777777" w:rsidR="00DD4730" w:rsidRDefault="00DD4730">
      <w:pPr>
        <w:rPr>
          <w:rFonts w:hint="eastAsia"/>
        </w:rPr>
      </w:pPr>
      <w:r>
        <w:separator/>
      </w:r>
    </w:p>
  </w:endnote>
  <w:endnote w:type="continuationSeparator" w:id="0">
    <w:p w14:paraId="728625F2" w14:textId="77777777" w:rsidR="00DD4730" w:rsidRDefault="00DD4730">
      <w:pPr>
        <w:rPr>
          <w:rFonts w:hint="eastAsia"/>
        </w:rPr>
      </w:pPr>
      <w:r>
        <w:continuationSeparator/>
      </w:r>
    </w:p>
  </w:endnote>
  <w:endnote w:type="continuationNotice" w:id="1">
    <w:p w14:paraId="5BE6CF51" w14:textId="77777777" w:rsidR="00DD4730" w:rsidRDefault="00DD4730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8C217" w14:textId="77777777" w:rsidR="00DD4730" w:rsidRDefault="00DD4730">
      <w:pPr>
        <w:rPr>
          <w:rFonts w:hint="eastAsia"/>
        </w:rPr>
      </w:pPr>
      <w:r>
        <w:separator/>
      </w:r>
    </w:p>
  </w:footnote>
  <w:footnote w:type="continuationSeparator" w:id="0">
    <w:p w14:paraId="69932C30" w14:textId="77777777" w:rsidR="00DD4730" w:rsidRDefault="00DD4730">
      <w:pPr>
        <w:rPr>
          <w:rFonts w:hint="eastAsia"/>
        </w:rPr>
      </w:pPr>
      <w:r>
        <w:continuationSeparator/>
      </w:r>
    </w:p>
  </w:footnote>
  <w:footnote w:type="continuationNotice" w:id="1">
    <w:p w14:paraId="504C43F1" w14:textId="77777777" w:rsidR="00DD4730" w:rsidRDefault="00DD4730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818B0"/>
    <w:multiLevelType w:val="hybridMultilevel"/>
    <w:tmpl w:val="7D78EFD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850CB"/>
    <w:multiLevelType w:val="hybridMultilevel"/>
    <w:tmpl w:val="5152086A"/>
    <w:lvl w:ilvl="0" w:tplc="305201C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3"/>
  </w:num>
  <w:num w:numId="2" w16cid:durableId="2032536700">
    <w:abstractNumId w:val="1"/>
  </w:num>
  <w:num w:numId="3" w16cid:durableId="1403021033">
    <w:abstractNumId w:val="2"/>
  </w:num>
  <w:num w:numId="4" w16cid:durableId="22637600">
    <w:abstractNumId w:val="6"/>
  </w:num>
  <w:num w:numId="5" w16cid:durableId="701705847">
    <w:abstractNumId w:val="4"/>
  </w:num>
  <w:num w:numId="6" w16cid:durableId="772820754">
    <w:abstractNumId w:val="7"/>
  </w:num>
  <w:num w:numId="7" w16cid:durableId="1284117957">
    <w:abstractNumId w:val="5"/>
  </w:num>
  <w:num w:numId="8" w16cid:durableId="853542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24B23"/>
    <w:rsid w:val="001440EB"/>
    <w:rsid w:val="00167D6C"/>
    <w:rsid w:val="00170B83"/>
    <w:rsid w:val="001829C3"/>
    <w:rsid w:val="00182A38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7C82"/>
    <w:rsid w:val="002E625C"/>
    <w:rsid w:val="002E7833"/>
    <w:rsid w:val="002F2844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73E41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4073"/>
    <w:rsid w:val="006855BA"/>
    <w:rsid w:val="0068641E"/>
    <w:rsid w:val="006916D4"/>
    <w:rsid w:val="006D0B34"/>
    <w:rsid w:val="006F0098"/>
    <w:rsid w:val="006F69BD"/>
    <w:rsid w:val="006F7843"/>
    <w:rsid w:val="007101FA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6B6B"/>
    <w:rsid w:val="00847207"/>
    <w:rsid w:val="00861191"/>
    <w:rsid w:val="00861C94"/>
    <w:rsid w:val="00864FEB"/>
    <w:rsid w:val="00867CC1"/>
    <w:rsid w:val="00871FD3"/>
    <w:rsid w:val="00877E84"/>
    <w:rsid w:val="00881726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10F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1405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D4730"/>
    <w:rsid w:val="00DE2093"/>
    <w:rsid w:val="00DF0E0E"/>
    <w:rsid w:val="00E04362"/>
    <w:rsid w:val="00E122B5"/>
    <w:rsid w:val="00E1642C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34132"/>
    <w:rsid w:val="00F5062B"/>
    <w:rsid w:val="00F50D08"/>
    <w:rsid w:val="00F5569E"/>
    <w:rsid w:val="00F56D8D"/>
    <w:rsid w:val="00F572EF"/>
    <w:rsid w:val="00F600E7"/>
    <w:rsid w:val="00F84B6E"/>
    <w:rsid w:val="00F91C45"/>
    <w:rsid w:val="00F94A91"/>
    <w:rsid w:val="00F9548B"/>
    <w:rsid w:val="00F96338"/>
    <w:rsid w:val="00F97CAE"/>
    <w:rsid w:val="00FA4DB8"/>
    <w:rsid w:val="00FA5355"/>
    <w:rsid w:val="00FB1524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1642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4</cp:revision>
  <cp:lastPrinted>2025-09-24T18:54:00Z</cp:lastPrinted>
  <dcterms:created xsi:type="dcterms:W3CDTF">2026-03-04T17:36:00Z</dcterms:created>
  <dcterms:modified xsi:type="dcterms:W3CDTF">2026-05-20T12:51:00Z</dcterms:modified>
  <dc:language>pt-BR</dc:language>
</cp:coreProperties>
</file>