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    /2026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5080</wp:posOffset>
                </wp:positionV>
                <wp:extent cx="3628390" cy="1774248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3628389" cy="17742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DISPÕE SOBRE A CRIAÇÃO DO PROGRAMA MUNICIPAL DE ASSISTÊNCIA INTEGRAL ÀS CRIANÇAS E JOVENS COM MALFORMAÇÕES CONGÊNITAS NO MUNICÍPIO DE MACAÉ E DÁ OUTRAS PROVIDÊNCIAS.</w:t>
                            </w:r>
                            <w:r>
                              <w:rPr>
                                <w:b/>
                                <w:bCs/>
                              </w:rPr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9264;o:allowoverlap:true;o:allowincell:true;mso-position-horizontal-relative:text;margin-left:189.75pt;mso-position-horizontal:absolute;mso-position-vertical-relative:text;margin-top:0.40pt;mso-position-vertical:absolute;width:285.70pt;height:139.70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</w:r>
                      <w:r>
                        <w:rPr>
                          <w:b/>
                          <w:bCs/>
                        </w:rPr>
                        <w:t xml:space="preserve">DISPÕE SOBRE A CRIAÇÃO DO PROGRAMA MUNICIPAL DE ASSISTÊNCIA INTEGRAL ÀS CRIANÇAS E JOVENS COM MALFORMAÇÕES CONGÊNITAS NO MUNICÍPIO DE MACAÉ E DÁ OUTRAS PROVIDÊNCIAS.</w:t>
                      </w:r>
                      <w:r>
                        <w:rPr>
                          <w:b/>
                          <w:bCs/>
                        </w:rPr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CÂMARA MUNICIPAL DE MACAÉ DELIBERA,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1 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Esta Lei institui diretrizes para a Política Municipal de Atenção Integral às Crianças e Jovens com Malformações Congênitas, no âmbito do Município de Macaé, com observância aos princípios do Sistema Único de Saúde – SUS.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2º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Para os fins desta Lei, consideram-se malformações congênitas as alterações estruturais ou funcionais presentes ao nascimento, de origem genética, ambiental ou desconhecida, que possam implicar prejuízos ao desenvolvimento do indivíduo.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b/>
          <w:bCs/>
          <w:sz w:val="24"/>
          <w:szCs w:val="24"/>
        </w:rPr>
        <w:t xml:space="preserve">Art. 3º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São diretrizes da Política Municipal: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universalidade de acesso aos serviços de saúde;</w:t>
        <w:br/>
        <w:t xml:space="preserve"> II – integralidade da atenção, com enfoque preventivo, assistencial e reabilitador;</w:t>
        <w:br/>
        <w:t xml:space="preserve"> III – equidade no atendimento, considerando as necessidades específicas;</w:t>
        <w:br/>
        <w:t xml:space="preserve"> IV – descentralização e regionalização dos s</w:t>
      </w:r>
      <w:r>
        <w:rPr>
          <w:sz w:val="24"/>
          <w:szCs w:val="24"/>
        </w:rPr>
        <w:t xml:space="preserve">erviços;</w:t>
        <w:br/>
        <w:t xml:space="preserve"> V – articulação intersetorial entre saúde, educação e assistência social;</w:t>
        <w:br/>
        <w:t xml:space="preserve"> VI – humanização do atendimento;</w:t>
        <w:br/>
        <w:t xml:space="preserve"> VII – participação da família no processo de cuidado.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b/>
          <w:bCs/>
          <w:sz w:val="24"/>
          <w:szCs w:val="24"/>
        </w:rPr>
        <w:t xml:space="preserve">Art. 4º </w:t>
      </w:r>
      <w:r>
        <w:rPr>
          <w:sz w:val="24"/>
          <w:szCs w:val="24"/>
        </w:rPr>
        <w:t xml:space="preserve">Constituem objetivos da Política Municipal: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promover o diagnóstico precoce, inclusive no pré-natal e período neonatal;</w:t>
        <w:br/>
        <w:t xml:space="preserve"> II – assegurar o acompanhamento clínico e terapêutico contínuo;</w:t>
        <w:br/>
        <w:t xml:space="preserve"> III – apoiar a reabilitação e o desenvolvimento funcional;</w:t>
        <w:br/>
        <w:t xml:space="preserve"> IV – orientar e apoiar as famílias e cuidadores;</w:t>
        <w:br/>
        <w:t xml:space="preserve"> V</w:t>
      </w:r>
      <w:r>
        <w:rPr>
          <w:sz w:val="24"/>
          <w:szCs w:val="24"/>
        </w:rPr>
        <w:t xml:space="preserve"> – contribuir para a inclusão social e educacional;</w:t>
        <w:br/>
        <w:t xml:space="preserve"> VI – estimular ações educativas e preventivas.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b/>
          <w:bCs/>
          <w:sz w:val="24"/>
          <w:szCs w:val="24"/>
        </w:rPr>
        <w:t xml:space="preserve">Art. 5º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implementação da Política Municipal observará as seguintes estratégias: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integração com as redes de atenção à saúde já existentes;</w:t>
        <w:br/>
        <w:t xml:space="preserve"> II – utilização de protocolos clínicos e diretrizes terapêuticas instituídos pelos entes federativos competentes;</w:t>
        <w:br/>
        <w:t xml:space="preserve"> III – organização do fluxo de atendimento na rede municipal;</w:t>
        <w:br/>
        <w:t xml:space="preserve"> IV – articulação</w:t>
      </w:r>
      <w:r>
        <w:rPr>
          <w:sz w:val="24"/>
          <w:szCs w:val="24"/>
        </w:rPr>
        <w:t xml:space="preserve"> com serviços de referência regionais, quando necessário;</w:t>
        <w:br/>
        <w:t xml:space="preserve"> V – capacitação dos profissionais da rede municipal.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b/>
          <w:bCs/>
          <w:sz w:val="24"/>
          <w:szCs w:val="24"/>
          <w:highlight w:val="none"/>
        </w:rPr>
        <w:t xml:space="preserve">Art. 6º </w:t>
      </w:r>
      <w:r>
        <w:rPr>
          <w:sz w:val="24"/>
          <w:szCs w:val="24"/>
        </w:rPr>
        <w:t xml:space="preserve">O Poder Executivo poderá, no âmbito de sua competência e disponibilidade orçamentária: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promover a adequação dos serviços de saúde para atendimento da demanda;</w:t>
        <w:br/>
        <w:t xml:space="preserve"> II – firmar parcerias e convênios com instituições públicas e privadas;</w:t>
        <w:br/>
        <w:t xml:space="preserve"> III – incentivar a formação e qualificação de profissionais;</w:t>
        <w:br/>
        <w:t xml:space="preserve"> IV – desenvolver instrumentos de monitoramen</w:t>
      </w:r>
      <w:r>
        <w:rPr>
          <w:sz w:val="24"/>
          <w:szCs w:val="24"/>
        </w:rPr>
        <w:t xml:space="preserve">to e avaliação das ações.</w:t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b/>
          <w:bCs/>
          <w:sz w:val="24"/>
          <w:szCs w:val="24"/>
          <w:highlight w:val="none"/>
        </w:rPr>
        <w:t xml:space="preserve">Art. 7º</w:t>
      </w:r>
      <w:r>
        <w:rPr>
          <w:b/>
          <w:bCs/>
          <w:sz w:val="24"/>
          <w:szCs w:val="24"/>
          <w:highlight w:val="none"/>
        </w:rPr>
        <w:t xml:space="preserve"> </w:t>
      </w:r>
      <w:r>
        <w:rPr>
          <w:sz w:val="24"/>
          <w:szCs w:val="24"/>
        </w:rPr>
        <w:t xml:space="preserve">A execução das ações previstas nesta Lei observará: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I – a legislação federal e estadual aplicável;</w:t>
        <w:br/>
        <w:t xml:space="preserve"> II – as pactuações interfederativas no âmbito do SUS;</w:t>
        <w:br/>
        <w:t xml:space="preserve"> III – a disponibilidade orçamentária e financeira do Município.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  <w:t xml:space="preserve">Art. 8º </w:t>
      </w:r>
      <w:r>
        <w:rPr>
          <w:sz w:val="24"/>
          <w:szCs w:val="24"/>
        </w:rPr>
        <w:t xml:space="preserve">Esta Lei não implica criação automática de cargos, funções, unidades administrativas ou aumento de despesa, devendo sua implementação ocorrer por meio de planejamento e regulamentação do Poder Executivo.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  <w:highlight w:val="none"/>
        </w:rPr>
        <w:t xml:space="preserve">Art. 9º </w:t>
      </w:r>
      <w:r>
        <w:rPr>
          <w:sz w:val="24"/>
          <w:szCs w:val="24"/>
        </w:rPr>
        <w:t xml:space="preserve">O Poder Executivo poderá regulamentar esta Lei, no que couber.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Art. 10º </w:t>
      </w:r>
      <w:r>
        <w:rPr>
          <w:sz w:val="24"/>
          <w:szCs w:val="24"/>
        </w:rPr>
        <w:t xml:space="preserve">Esta Lei entra em vigor na data de sua publicação.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  <w:highlight w:val="none"/>
        </w:rPr>
      </w:pPr>
      <w:r>
        <w:rPr>
          <w:b/>
          <w:bCs/>
        </w:rPr>
        <w:t xml:space="preserve"> JUSTIFICATIVA</w:t>
      </w:r>
      <w:r>
        <w:rPr>
          <w:b/>
          <w:bCs/>
        </w:rPr>
      </w:r>
      <w:r>
        <w:rPr>
          <w:b/>
          <w:bCs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O presente Projeto de Lei tem por objetivo estabelecer diretrizes para a organização da atenção integral às crianças e jovens com malformações congênitas no Município de Macaé, em consonância com os princípios e diretrizes do Sistema Único de Saúde.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proposta adota caráter normativo e orientador, respeitando os limites da competência legislativa municipal, sem invadir a esfera de iniciativa privativa do Poder </w:t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Executivo, tampouco impor criação de estruturas administrativas ou despesas obrigatórias.</w:t>
      </w:r>
      <w:r>
        <w:rPr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medida busca fortalecer a organização da rede de atenção à saúde, promovendo maior eficiência na utilização dos recursos já existentes, além de fomentar a integração entre políticas públicas setoriais.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Destaca-se que a matéria encontra respaldo nos artigos 196 e 198 da Constituição Federal, que tratam do direito à saúde e da organização do SUS, bem como na competência comum dos entes federativos para cuidar da saúde e assistência pública.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Dessa forma, o projeto apresenta-se juridicamente adequado, respeitando os princípios da legalidade, razoabilidade e responsabilidade fiscal.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29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Vereadora - Autora</w:t>
      </w:r>
      <w:r>
        <w:rPr>
          <w:b/>
          <w:sz w:val="6"/>
          <w:szCs w:val="6"/>
        </w:rPr>
        <w:t xml:space="preserve">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9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3"/>
  </w:num>
  <w:num w:numId="10">
    <w:abstractNumId w:val="14"/>
  </w:num>
  <w:num w:numId="11">
    <w:abstractNumId w:val="4"/>
  </w:num>
  <w:num w:numId="12">
    <w:abstractNumId w:val="8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9</cp:revision>
  <dcterms:created xsi:type="dcterms:W3CDTF">2026-04-15T16:02:00Z</dcterms:created>
  <dcterms:modified xsi:type="dcterms:W3CDTF">2026-04-29T20:11:40Z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