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0" w:afterAutospacing="0" w:before="0" w:beforeAutospacing="0" w:line="240" w:lineRule="auto"/>
        <w:ind/>
        <w:jc w:val="center"/>
        <w:rPr>
          <w:rFonts w:ascii="Times New Roman" w:hAnsi="Times New Roman" w:eastAsia="Times New Roman" w:cs="Times New Roman"/>
          <w:b/>
          <w:bCs/>
          <w:sz w:val="24"/>
          <w:szCs w:val="24"/>
          <w:highlight w:val="none"/>
          <w:lang w:eastAsia="pt-BR"/>
        </w:rPr>
      </w:pPr>
      <w:r>
        <w:rPr>
          <w:rFonts w:ascii="Times New Roman" w:hAnsi="Times New Roman" w:eastAsia="Times New Roman" w:cs="Times New Roman"/>
          <w:b/>
          <w:bCs/>
          <w:sz w:val="24"/>
          <w:szCs w:val="24"/>
          <w:lang w:eastAsia="pt-BR"/>
        </w:rPr>
        <w:t xml:space="preserve">PROJETO DE LEI DO LEGISLATIVO Nº  _________/2026</w:t>
      </w:r>
      <w:r>
        <w:rPr>
          <w:rFonts w:ascii="Times New Roman" w:hAnsi="Times New Roman" w:eastAsia="Times New Roman" w:cs="Times New Roman"/>
          <w:b/>
          <w:bCs/>
          <w:sz w:val="24"/>
          <w:szCs w:val="24"/>
          <w:highlight w:val="none"/>
          <w:lang w:eastAsia="pt-BR"/>
        </w:rPr>
      </w:r>
      <w:r>
        <w:rPr>
          <w:rFonts w:ascii="Times New Roman" w:hAnsi="Times New Roman" w:eastAsia="Times New Roman" w:cs="Times New Roman"/>
          <w:b/>
          <w:bCs/>
          <w:sz w:val="24"/>
          <w:szCs w:val="24"/>
          <w:highlight w:val="none"/>
          <w:lang w:eastAsia="pt-BR"/>
        </w:rPr>
      </w:r>
    </w:p>
    <w:p>
      <w:pPr>
        <w:pBdr/>
        <w:spacing w:after="0" w:afterAutospacing="0" w:before="0" w:beforeAutospacing="0" w:line="240" w:lineRule="auto"/>
        <w:ind/>
        <w:jc w:val="center"/>
        <w:rPr>
          <w:rFonts w:ascii="Times New Roman" w:hAnsi="Times New Roman" w:eastAsia="Times New Roman" w:cs="Times New Roman"/>
          <w:b/>
          <w:bCs/>
          <w:sz w:val="24"/>
          <w:szCs w:val="24"/>
          <w:highlight w:val="none"/>
          <w:lang w:eastAsia="pt-BR"/>
        </w:rPr>
      </w:pPr>
      <w:r>
        <w:rPr>
          <w:rFonts w:ascii="Times New Roman" w:hAnsi="Times New Roman" w:eastAsia="Times New Roman" w:cs="Times New Roman"/>
          <w:b/>
          <w:bCs/>
          <w:sz w:val="24"/>
          <w:szCs w:val="24"/>
          <w:highlight w:val="none"/>
          <w:lang w:eastAsia="pt-BR"/>
        </w:rPr>
      </w:r>
      <w:r>
        <w:rPr>
          <w:rFonts w:ascii="Times New Roman" w:hAnsi="Times New Roman" w:eastAsia="Times New Roman" w:cs="Times New Roman"/>
          <w:b/>
          <w:bCs/>
          <w:sz w:val="24"/>
          <w:szCs w:val="24"/>
          <w:highlight w:val="none"/>
          <w:lang w:eastAsia="pt-BR"/>
        </w:rPr>
      </w:r>
      <w:r>
        <w:rPr>
          <w:rFonts w:ascii="Times New Roman" w:hAnsi="Times New Roman" w:eastAsia="Times New Roman" w:cs="Times New Roman"/>
          <w:b/>
          <w:bCs/>
          <w:sz w:val="24"/>
          <w:szCs w:val="24"/>
          <w:highlight w:val="none"/>
          <w:lang w:eastAsia="pt-BR"/>
        </w:rPr>
      </w:r>
    </w:p>
    <w:p>
      <w:pPr>
        <w:pBdr/>
        <w:spacing w:after="0" w:afterAutospacing="0" w:before="0" w:beforeAutospacing="0" w:line="240" w:lineRule="auto"/>
        <w:ind/>
        <w:jc w:val="center"/>
        <w:rPr>
          <w:rFonts w:ascii="Times New Roman" w:hAnsi="Times New Roman" w:eastAsia="Times New Roman" w:cs="Times New Roman"/>
          <w:b/>
          <w:bCs/>
          <w:sz w:val="24"/>
          <w:szCs w:val="24"/>
          <w:highlight w:val="none"/>
          <w:lang w:eastAsia="pt-BR"/>
        </w:rPr>
      </w:pPr>
      <w:r>
        <w:rPr>
          <w:rFonts w:ascii="Times New Roman" w:hAnsi="Times New Roman" w:eastAsia="Times New Roman" w:cs="Times New Roman"/>
          <w:b/>
          <w:bCs/>
          <w:sz w:val="24"/>
          <w:szCs w:val="24"/>
          <w:highlight w:val="none"/>
          <w:lang w:eastAsia="pt-BR"/>
        </w:rPr>
      </w:r>
      <w:r>
        <w:rPr>
          <w:rFonts w:ascii="Times New Roman" w:hAnsi="Times New Roman" w:eastAsia="Times New Roman" w:cs="Times New Roman"/>
          <w:b/>
          <w:bCs/>
          <w:sz w:val="24"/>
          <w:szCs w:val="24"/>
          <w:highlight w:val="none"/>
          <w:lang w:eastAsia="pt-BR"/>
        </w:rPr>
      </w:r>
      <w:r>
        <w:rPr>
          <w:rFonts w:ascii="Times New Roman" w:hAnsi="Times New Roman" w:eastAsia="Times New Roman" w:cs="Times New Roman"/>
          <w:b/>
          <w:bCs/>
          <w:sz w:val="24"/>
          <w:szCs w:val="24"/>
          <w:highlight w:val="none"/>
          <w:lang w:eastAsia="pt-BR"/>
        </w:rPr>
      </w:r>
    </w:p>
    <w:p>
      <w:pPr>
        <w:pBdr/>
        <w:spacing w:after="0" w:afterAutospacing="0" w:before="0" w:beforeAutospacing="0" w:line="240" w:lineRule="auto"/>
        <w:ind w:left="3969"/>
        <w:jc w:val="right"/>
        <w:rPr>
          <w:rFonts w:ascii="Times New Roman" w:hAnsi="Times New Roman" w:eastAsia="Times New Roman" w:cs="Times New Roman"/>
          <w:bCs/>
          <w:i/>
          <w:sz w:val="24"/>
          <w:szCs w:val="24"/>
          <w:highlight w:val="none"/>
        </w:rPr>
      </w:pPr>
      <w:r>
        <w:rPr>
          <w:rFonts w:ascii="Times New Roman" w:hAnsi="Times New Roman" w:eastAsia="Times New Roman" w:cs="Times New Roman"/>
          <w:bCs/>
          <w:i/>
          <w:sz w:val="24"/>
          <w:szCs w:val="24"/>
        </w:rPr>
        <w:t xml:space="preserve">Autoria: Mesa Diretora</w:t>
      </w:r>
      <w:r>
        <w:rPr>
          <w:rFonts w:ascii="Times New Roman" w:hAnsi="Times New Roman" w:eastAsia="Times New Roman" w:cs="Times New Roman"/>
          <w:bCs/>
          <w:i/>
          <w:sz w:val="24"/>
          <w:szCs w:val="24"/>
          <w:highlight w:val="none"/>
        </w:rPr>
      </w:r>
      <w:r>
        <w:rPr>
          <w:rFonts w:ascii="Times New Roman" w:hAnsi="Times New Roman" w:eastAsia="Times New Roman" w:cs="Times New Roman"/>
          <w:bCs/>
          <w:i/>
          <w:sz w:val="24"/>
          <w:szCs w:val="24"/>
          <w:highlight w:val="none"/>
        </w:rPr>
      </w:r>
    </w:p>
    <w:p>
      <w:pPr>
        <w:pBdr/>
        <w:spacing w:after="0" w:afterAutospacing="0" w:before="0" w:beforeAutospacing="0" w:line="240" w:lineRule="auto"/>
        <w:ind w:left="3969"/>
        <w:jc w:val="right"/>
        <w:rPr>
          <w:rFonts w:ascii="Times New Roman" w:hAnsi="Times New Roman" w:eastAsia="Times New Roman" w:cs="Times New Roman"/>
          <w:bCs/>
          <w:i/>
          <w:sz w:val="24"/>
          <w:szCs w:val="24"/>
        </w:rPr>
      </w:pPr>
      <w:r>
        <w:rPr>
          <w:rFonts w:ascii="Times New Roman" w:hAnsi="Times New Roman" w:eastAsia="Times New Roman" w:cs="Times New Roman"/>
          <w:bCs/>
          <w:i/>
          <w:sz w:val="24"/>
          <w:szCs w:val="24"/>
          <w:highlight w:val="none"/>
        </w:rPr>
      </w:r>
      <w:r>
        <w:rPr>
          <w:rFonts w:ascii="Times New Roman" w:hAnsi="Times New Roman" w:eastAsia="Times New Roman" w:cs="Times New Roman"/>
          <w:bCs/>
          <w:i/>
          <w:sz w:val="24"/>
          <w:szCs w:val="24"/>
        </w:rPr>
      </w:r>
      <w:r>
        <w:rPr>
          <w:rFonts w:ascii="Times New Roman" w:hAnsi="Times New Roman" w:eastAsia="Times New Roman" w:cs="Times New Roman"/>
          <w:bCs/>
          <w:i/>
          <w:sz w:val="24"/>
          <w:szCs w:val="24"/>
        </w:rPr>
      </w:r>
    </w:p>
    <w:p>
      <w:pPr>
        <w:pBdr/>
        <w:spacing w:after="0" w:afterAutospacing="0" w:before="0" w:beforeAutospacing="0" w:line="240" w:lineRule="auto"/>
        <w:ind w:left="3969"/>
        <w:jc w:val="both"/>
        <w:rPr>
          <w:rFonts w:ascii="Times New Roman" w:hAnsi="Times New Roman" w:eastAsia="Times New Roman" w:cs="Times New Roman"/>
          <w:b/>
          <w:bCs/>
          <w:i/>
          <w:sz w:val="24"/>
          <w:szCs w:val="24"/>
          <w:highlight w:val="none"/>
          <w:lang w:eastAsia="pt-BR"/>
        </w:rPr>
      </w:pPr>
      <w:r>
        <w:rPr>
          <w:rFonts w:ascii="Times New Roman" w:hAnsi="Times New Roman" w:eastAsia="Times New Roman" w:cs="Times New Roman"/>
          <w:b/>
          <w:bCs/>
          <w:i/>
          <w:iCs/>
          <w:sz w:val="24"/>
          <w:szCs w:val="24"/>
          <w:lang w:eastAsia="pt-BR"/>
        </w:rPr>
      </w:r>
      <w:r>
        <w:rPr>
          <w:rFonts w:ascii="Times New Roman" w:hAnsi="Times New Roman" w:eastAsia="Times New Roman" w:cs="Times New Roman"/>
          <w:b/>
          <w:bCs/>
          <w:i/>
          <w:iCs/>
          <w:sz w:val="24"/>
          <w:szCs w:val="24"/>
          <w:lang w:eastAsia="pt-BR"/>
        </w:rPr>
        <w:t xml:space="preserve">Institui a Política Integrada de Gestão Patrimonial, de Materiais e de Resíduos Internos da Câmara Municipal de Macaé, estabelece regras gerais de gover</w:t>
      </w:r>
      <w:r>
        <w:rPr>
          <w:rFonts w:ascii="Times New Roman" w:hAnsi="Times New Roman" w:eastAsia="Times New Roman" w:cs="Times New Roman"/>
          <w:b/>
          <w:bCs/>
          <w:i/>
          <w:iCs/>
          <w:sz w:val="24"/>
          <w:szCs w:val="24"/>
          <w:lang w:eastAsia="pt-BR"/>
        </w:rPr>
        <w:t xml:space="preserve">nança, competências e diretrizes, e dá outras providências.</w:t>
      </w:r>
      <w:r>
        <w:rPr>
          <w:rFonts w:ascii="Times New Roman" w:hAnsi="Times New Roman" w:eastAsia="Times New Roman" w:cs="Times New Roman"/>
          <w:b/>
          <w:bCs/>
          <w:i/>
          <w:sz w:val="24"/>
          <w:szCs w:val="24"/>
          <w:highlight w:val="none"/>
          <w:lang w:eastAsia="pt-BR"/>
        </w:rPr>
      </w:r>
      <w:r>
        <w:rPr>
          <w:rFonts w:ascii="Times New Roman" w:hAnsi="Times New Roman" w:eastAsia="Times New Roman" w:cs="Times New Roman"/>
          <w:b/>
          <w:bCs/>
          <w:i/>
          <w:sz w:val="24"/>
          <w:szCs w:val="24"/>
          <w:highlight w:val="none"/>
          <w:lang w:eastAsia="pt-BR"/>
        </w:rPr>
      </w:r>
    </w:p>
    <w:p>
      <w:pPr>
        <w:pBdr/>
        <w:spacing w:after="0" w:afterAutospacing="0" w:before="0" w:beforeAutospacing="0" w:line="240" w:lineRule="auto"/>
        <w:ind w:left="3969"/>
        <w:jc w:val="both"/>
        <w:rPr>
          <w:rFonts w:ascii="Times New Roman" w:hAnsi="Times New Roman" w:eastAsia="Times New Roman" w:cs="Times New Roman"/>
          <w:b/>
          <w:bCs/>
          <w:i/>
          <w:sz w:val="24"/>
          <w:szCs w:val="24"/>
          <w:highlight w:val="none"/>
          <w:lang w:eastAsia="pt-BR"/>
        </w:rPr>
      </w:pPr>
      <w:r>
        <w:rPr>
          <w:rFonts w:ascii="Times New Roman" w:hAnsi="Times New Roman" w:eastAsia="Times New Roman" w:cs="Times New Roman"/>
          <w:b/>
          <w:bCs/>
          <w:i/>
          <w:sz w:val="24"/>
          <w:szCs w:val="24"/>
          <w:highlight w:val="none"/>
          <w:lang w:eastAsia="pt-BR"/>
        </w:rPr>
      </w:r>
      <w:r>
        <w:rPr>
          <w:rFonts w:ascii="Times New Roman" w:hAnsi="Times New Roman" w:eastAsia="Times New Roman" w:cs="Times New Roman"/>
          <w:b/>
          <w:bCs/>
          <w:i/>
          <w:sz w:val="24"/>
          <w:szCs w:val="24"/>
          <w:highlight w:val="none"/>
          <w:lang w:eastAsia="pt-BR"/>
        </w:rPr>
      </w:r>
      <w:r>
        <w:rPr>
          <w:rFonts w:ascii="Times New Roman" w:hAnsi="Times New Roman" w:eastAsia="Times New Roman" w:cs="Times New Roman"/>
          <w:b/>
          <w:bCs/>
          <w:i/>
          <w:sz w:val="24"/>
          <w:szCs w:val="24"/>
          <w:highlight w:val="none"/>
          <w:lang w:eastAsia="pt-BR"/>
        </w:rPr>
      </w:r>
    </w:p>
    <w:p>
      <w:pPr>
        <w:pBdr/>
        <w:spacing w:after="0" w:afterAutospacing="0" w:before="0" w:beforeAutospacing="0" w:line="240" w:lineRule="auto"/>
        <w:ind w:left="3969"/>
        <w:jc w:val="both"/>
        <w:rPr>
          <w:rFonts w:ascii="Times New Roman" w:hAnsi="Times New Roman" w:eastAsia="Times New Roman" w:cs="Times New Roman"/>
          <w:b/>
          <w:bCs/>
          <w:i/>
          <w:sz w:val="24"/>
          <w:szCs w:val="24"/>
        </w:rPr>
      </w:pPr>
      <w:r>
        <w:rPr>
          <w:rFonts w:ascii="Times New Roman" w:hAnsi="Times New Roman" w:eastAsia="Times New Roman" w:cs="Times New Roman"/>
          <w:b/>
          <w:bCs/>
          <w:i/>
          <w:iCs/>
          <w:sz w:val="24"/>
          <w:szCs w:val="24"/>
          <w:highlight w:val="none"/>
          <w:lang w:eastAsia="pt-BR"/>
        </w:rPr>
      </w:r>
      <w:r>
        <w:rPr>
          <w:rFonts w:ascii="Times New Roman" w:hAnsi="Times New Roman" w:eastAsia="Times New Roman" w:cs="Times New Roman"/>
          <w:b/>
          <w:bCs/>
          <w:i/>
          <w:sz w:val="24"/>
          <w:szCs w:val="24"/>
        </w:rPr>
      </w:r>
      <w:r>
        <w:rPr>
          <w:rFonts w:ascii="Times New Roman" w:hAnsi="Times New Roman" w:eastAsia="Times New Roman" w:cs="Times New Roman"/>
          <w:b/>
          <w:bCs/>
          <w:i/>
          <w:sz w:val="24"/>
          <w:szCs w:val="24"/>
        </w:rPr>
      </w:r>
    </w:p>
    <w:p>
      <w:pPr>
        <w:pStyle w:val="1034"/>
        <w:pBdr/>
        <w:spacing w:after="0" w:afterAutospacing="0" w:before="0" w:beforeAutospacing="0" w:line="240" w:lineRule="auto"/>
        <w:ind w:firstLine="708"/>
        <w:jc w:val="both"/>
        <w:rPr>
          <w:highlight w:val="none"/>
        </w:rPr>
      </w:pPr>
      <w:r>
        <w:t xml:space="preserve">A </w:t>
      </w:r>
      <w:r>
        <w:rPr>
          <w:b/>
        </w:rPr>
        <w:t xml:space="preserve">CÂMARA MUNICIPAL DE MACAÉ</w:t>
      </w:r>
      <w:r>
        <w:t xml:space="preserve">, no uso de suas atribuições legais, faz saber que aprovou e eu, Presidente, promulgo a seguinte Lei:</w:t>
      </w:r>
      <w:r>
        <w:rPr>
          <w:highlight w:val="none"/>
        </w:rPr>
      </w:r>
      <w:r>
        <w:rPr>
          <w:highlight w:val="none"/>
        </w:rPr>
      </w:r>
    </w:p>
    <w:p>
      <w:pPr>
        <w:pStyle w:val="1034"/>
        <w:pBdr/>
        <w:spacing w:after="0" w:afterAutospacing="0" w:before="0" w:beforeAutospacing="0" w:line="240" w:lineRule="auto"/>
        <w:ind w:firstLine="708"/>
        <w:jc w:val="both"/>
        <w:rPr/>
      </w:pPr>
      <w:r>
        <w:rPr>
          <w:highlight w:val="none"/>
        </w:rPr>
      </w:r>
      <w:r>
        <w:rPr>
          <w:highlight w:val="none"/>
        </w:rPr>
      </w:r>
      <w:r/>
    </w:p>
    <w:p>
      <w:pPr>
        <w:pStyle w:val="1034"/>
        <w:pBdr/>
        <w:spacing w:after="0" w:afterAutospacing="0" w:before="0" w:beforeAutospacing="0" w:line="240" w:lineRule="auto"/>
        <w:ind w:firstLine="0"/>
        <w:jc w:val="center"/>
        <w:rPr>
          <w:b w:val="0"/>
          <w:bCs w:val="0"/>
        </w:rPr>
      </w:pPr>
      <w:r>
        <w:rPr>
          <w:b w:val="0"/>
          <w:bCs w:val="0"/>
        </w:rPr>
        <w:t xml:space="preserve">CAPÍTULO I</w:t>
      </w:r>
      <w:r>
        <w:rPr>
          <w:b w:val="0"/>
          <w:bCs w:val="0"/>
        </w:rPr>
      </w:r>
      <w:r>
        <w:rPr>
          <w:b w:val="0"/>
          <w:bCs w:val="0"/>
        </w:rPr>
      </w:r>
    </w:p>
    <w:p>
      <w:pPr>
        <w:pStyle w:val="1034"/>
        <w:pBdr/>
        <w:spacing w:after="0" w:afterAutospacing="0" w:before="0" w:beforeAutospacing="0" w:line="240" w:lineRule="auto"/>
        <w:ind w:firstLine="0"/>
        <w:jc w:val="center"/>
        <w:rPr>
          <w:b w:val="0"/>
          <w:bCs w:val="0"/>
          <w:highlight w:val="none"/>
        </w:rPr>
      </w:pPr>
      <w:r>
        <w:rPr>
          <w:b w:val="0"/>
          <w:bCs w:val="0"/>
        </w:rPr>
        <w:t xml:space="preserve">DISPOSIÇÕES PRELIMINARES</w:t>
      </w:r>
      <w:r>
        <w:rPr>
          <w:b w:val="0"/>
          <w:bCs w:val="0"/>
          <w:highlight w:val="none"/>
        </w:rPr>
      </w:r>
      <w:r>
        <w:rPr>
          <w:b w:val="0"/>
          <w:bCs w:val="0"/>
          <w:highlight w:val="none"/>
        </w:rPr>
      </w:r>
    </w:p>
    <w:p>
      <w:pPr>
        <w:pStyle w:val="1034"/>
        <w:pBdr/>
        <w:spacing w:after="0" w:afterAutospacing="0" w:before="0" w:beforeAutospacing="0" w:line="240" w:lineRule="auto"/>
        <w:ind w:firstLine="0"/>
        <w:jc w:val="center"/>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bCs/>
        </w:rPr>
        <w:t xml:space="preserve">Art. 1º</w:t>
      </w:r>
      <w:r>
        <w:rPr>
          <w:b w:val="0"/>
          <w:bCs w:val="0"/>
        </w:rPr>
        <w:t xml:space="preserve"> Esta Lei institui a Política Integrada de Gestão Patrimonial, de Materiais e de Resíduos Internos da Câmara Municipal de Macaé, define diretrizes estruturantes e organiza competências institucionais </w:t>
      </w:r>
      <w:r>
        <w:rPr>
          <w:b w:val="0"/>
          <w:bCs w:val="0"/>
        </w:rPr>
        <w:t xml:space="preserve">destinadas ao apoio, acompanhamento e aprimoramento das atividades patrimoniais e de almoxarifado.</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val="0"/>
          <w:bCs w:val="0"/>
          <w:highlight w:val="none"/>
        </w:rPr>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bCs/>
          <w:highlight w:val="none"/>
        </w:rPr>
        <w:t xml:space="preserve">Parágrafo único. </w:t>
      </w:r>
      <w:r>
        <w:rPr>
          <w:b w:val="0"/>
          <w:bCs w:val="0"/>
          <w:highlight w:val="none"/>
        </w:rPr>
        <w:t xml:space="preserve">A</w:t>
      </w:r>
      <w:r>
        <w:rPr>
          <w:b w:val="0"/>
          <w:bCs w:val="0"/>
          <w:highlight w:val="none"/>
        </w:rPr>
        <w:t xml:space="preserve"> execução desta Lei observará a legislação vigente e as normas técnicas aplicáveis à gestão patrimonial, à gestão de materiais, à gestão documental e à destinação ambientalmente adequada de resíduos, inclusive as orientações dos órgãos de controle interno </w:t>
      </w:r>
      <w:r>
        <w:rPr>
          <w:b w:val="0"/>
          <w:bCs w:val="0"/>
          <w:highlight w:val="none"/>
        </w:rPr>
        <w:t xml:space="preserve">e externo.</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bCs/>
        </w:rPr>
        <w:t xml:space="preserve">Art. 2º</w:t>
      </w:r>
      <w:r>
        <w:rPr>
          <w:b w:val="0"/>
          <w:bCs w:val="0"/>
        </w:rPr>
        <w:t xml:space="preserve"> A Política instituída por esta Lei compreende:</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t xml:space="preserve">I – os bens permanentes integrantes do patrimônio da Câmara Municipal;</w:t>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t xml:space="preserve">II – os materiais de consumo e demais itens sujeitos a controle de estoque;</w:t>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t xml:space="preserve">III – os procedimentos de tombamento, inventário, registro, movimentação e destinação;</w:t>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t xml:space="preserve">IV – o acervo documental correlato às atividades patrimoniais e de materiais;</w:t>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val="0"/>
          <w:bCs w:val="0"/>
        </w:rPr>
        <w:t xml:space="preserve">V – a gestão dos resíduos sólidos gerados internamente, em conformidade com a legislação aplicável.</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val="0"/>
          <w:bCs w:val="0"/>
          <w:highlight w:val="none"/>
        </w:rPr>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bCs/>
          <w:highlight w:val="none"/>
        </w:rPr>
        <w:t xml:space="preserve">Art. 3º </w:t>
      </w:r>
      <w:r>
        <w:rPr>
          <w:b w:val="0"/>
          <w:bCs w:val="0"/>
          <w:highlight w:val="none"/>
        </w:rPr>
        <w:t xml:space="preserve">Para os fins desta Lei, consideram-se:</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val="0"/>
          <w:bCs w:val="0"/>
          <w:highlight w:val="none"/>
        </w:rPr>
      </w:r>
      <w:r>
        <w:rPr>
          <w:b w:val="0"/>
          <w:bCs w:val="0"/>
          <w:highlight w:val="none"/>
        </w:rPr>
      </w:r>
      <w:r>
        <w:rPr>
          <w:b w:val="0"/>
          <w:bCs w:val="0"/>
          <w:highlight w:val="none"/>
        </w:rPr>
      </w:r>
    </w:p>
    <w:p>
      <w:pPr>
        <w:pStyle w:val="1034"/>
        <w:pBdr/>
        <w:spacing w:after="0" w:afterAutospacing="0" w:before="0" w:beforeAutospacing="0" w:line="240" w:lineRule="auto"/>
        <w:ind w:firstLine="708"/>
        <w:jc w:val="both"/>
        <w:rPr/>
      </w:pPr>
      <w:r>
        <w:rPr>
          <w:b w:val="0"/>
          <w:bCs w:val="0"/>
          <w:highlight w:val="none"/>
        </w:rPr>
        <w:t xml:space="preserve">I</w:t>
      </w:r>
      <w:r>
        <w:rPr>
          <w:b w:val="0"/>
          <w:bCs w:val="0"/>
          <w:highlight w:val="none"/>
        </w:rPr>
        <w:t xml:space="preserve"> – bens patrimoniais: todos os bens móveis permanentes, bens imóveis e demais itens registrados no ativo imobilizado da Câmara Municipal, observados os conceitos adotados na contabilidade aplicada ao setor público e nas normas do Tribunal de Contas do Esta</w:t>
      </w:r>
      <w:r>
        <w:rPr>
          <w:b w:val="0"/>
          <w:bCs w:val="0"/>
          <w:highlight w:val="none"/>
        </w:rPr>
        <w:t xml:space="preserve">do do Rio de Janeiro;</w:t>
      </w:r>
      <w:r>
        <w:rPr>
          <w:b w:val="0"/>
          <w:bCs w:val="0"/>
          <w:highlight w:val="none"/>
        </w:rPr>
      </w:r>
      <w:r/>
    </w:p>
    <w:p>
      <w:pPr>
        <w:pStyle w:val="1034"/>
        <w:pBdr/>
        <w:spacing w:after="0" w:afterAutospacing="0" w:before="0" w:beforeAutospacing="0" w:line="240" w:lineRule="auto"/>
        <w:ind w:firstLine="708"/>
        <w:jc w:val="both"/>
        <w:rPr/>
      </w:pPr>
      <w:r>
        <w:rPr>
          <w:b w:val="0"/>
          <w:bCs w:val="0"/>
          <w:highlight w:val="none"/>
        </w:rPr>
        <w:t xml:space="preserve">II – desfazimento: a alienação, doação, reciclagem, reaproveitamento, descarte ou outro procedimento destinado à destinação final de bens patrimoniais, nos termos da legislação aplicável;</w:t>
      </w:r>
      <w:r>
        <w:rPr>
          <w:b w:val="0"/>
          <w:bCs w:val="0"/>
          <w:highlight w:val="none"/>
        </w:rPr>
      </w:r>
      <w:r/>
    </w:p>
    <w:p>
      <w:pPr>
        <w:pStyle w:val="1034"/>
        <w:pBdr/>
        <w:spacing w:after="0" w:afterAutospacing="0" w:before="0" w:beforeAutospacing="0" w:line="240" w:lineRule="auto"/>
        <w:ind w:firstLine="708"/>
        <w:jc w:val="both"/>
        <w:rPr/>
      </w:pPr>
      <w:r>
        <w:rPr>
          <w:b w:val="0"/>
          <w:bCs w:val="0"/>
          <w:highlight w:val="none"/>
        </w:rPr>
        <w:t xml:space="preserve">III – bens inservíveis: bens considerados ociosos, obsoletos, antieconômicos, irrecuperáveis ou cuja recuperação se mostre desvantajosa sob o ponto de vista econômico ou funcional;</w:t>
      </w:r>
      <w:r>
        <w:rPr>
          <w:b w:val="0"/>
          <w:bCs w:val="0"/>
          <w:highlight w:val="none"/>
        </w:rPr>
      </w:r>
      <w:r/>
    </w:p>
    <w:p>
      <w:pPr>
        <w:pStyle w:val="1034"/>
        <w:pBdr/>
        <w:spacing w:after="0" w:afterAutospacing="0" w:before="0" w:beforeAutospacing="0" w:line="240" w:lineRule="auto"/>
        <w:ind w:firstLine="708"/>
        <w:jc w:val="both"/>
        <w:rPr/>
      </w:pPr>
      <w:r>
        <w:rPr>
          <w:b w:val="0"/>
          <w:bCs w:val="0"/>
          <w:highlight w:val="none"/>
        </w:rPr>
        <w:t xml:space="preserve">IV – parecer técnico de inservibilidade: documento emitido pela unidade responsável pela gestão patrimonial que classifica o estado dos bens, fundamenta a proposta de inservibilidade e subsidia a decisão quanto à sua destinação, descaracterização ou baixa;</w:t>
      </w:r>
      <w:r>
        <w:rPr>
          <w:b w:val="0"/>
          <w:bCs w:val="0"/>
          <w:highlight w:val="none"/>
        </w:rPr>
      </w:r>
      <w:r/>
    </w:p>
    <w:p>
      <w:pPr>
        <w:pStyle w:val="1034"/>
        <w:pBdr/>
        <w:spacing w:after="0" w:afterAutospacing="0" w:before="0" w:beforeAutospacing="0" w:line="240" w:lineRule="auto"/>
        <w:ind w:firstLine="708"/>
        <w:jc w:val="both"/>
        <w:rPr/>
      </w:pPr>
      <w:r>
        <w:rPr>
          <w:b w:val="0"/>
          <w:bCs w:val="0"/>
          <w:highlight w:val="none"/>
        </w:rPr>
        <w:t xml:space="preserve">V – entidades beneficiárias: pessoas jurídicas aptas a receber bens da Câmara Municipal por doação, nos termos da legislação vigente;</w:t>
      </w:r>
      <w:r>
        <w:rPr>
          <w:b w:val="0"/>
          <w:bCs w:val="0"/>
          <w:highlight w:val="none"/>
        </w:rPr>
      </w:r>
      <w:r/>
    </w:p>
    <w:p>
      <w:pPr>
        <w:pStyle w:val="1034"/>
        <w:pBdr/>
        <w:spacing w:after="0" w:afterAutospacing="0" w:before="0" w:beforeAutospacing="0" w:line="240" w:lineRule="auto"/>
        <w:ind w:firstLine="708"/>
        <w:jc w:val="both"/>
        <w:rPr/>
      </w:pPr>
      <w:r>
        <w:rPr>
          <w:b w:val="0"/>
          <w:bCs w:val="0"/>
          <w:highlight w:val="none"/>
        </w:rPr>
        <w:t xml:space="preserve">V</w:t>
      </w:r>
      <w:r>
        <w:rPr>
          <w:b w:val="0"/>
          <w:bCs w:val="0"/>
          <w:highlight w:val="none"/>
        </w:rPr>
        <w:t xml:space="preserve">I – tratamento adequado de resíduos: conjunto de ações que assegurem a segregação, o acondicionamento, o transporte, o reaproveitamento, a reciclagem, a destinação final e, quando couber, a logística reversa de resíduos e bens inservíveis, podendo envolver</w:t>
      </w:r>
      <w:r>
        <w:rPr>
          <w:b w:val="0"/>
          <w:bCs w:val="0"/>
          <w:highlight w:val="none"/>
        </w:rPr>
        <w:t xml:space="preserve"> parcerias com cooperativas ou entidades de reciclagem regularmente constituídas;</w:t>
      </w:r>
      <w:r>
        <w:rPr>
          <w:b w:val="0"/>
          <w:bCs w:val="0"/>
          <w:highlight w:val="none"/>
        </w:rPr>
      </w:r>
      <w:r/>
    </w:p>
    <w:p>
      <w:pPr>
        <w:pStyle w:val="1034"/>
        <w:pBdr/>
        <w:spacing w:after="0" w:afterAutospacing="0" w:before="0" w:beforeAutospacing="0" w:line="240" w:lineRule="auto"/>
        <w:ind w:firstLine="708"/>
        <w:jc w:val="both"/>
        <w:rPr/>
      </w:pPr>
      <w:r>
        <w:rPr>
          <w:b w:val="0"/>
          <w:bCs w:val="0"/>
          <w:highlight w:val="none"/>
        </w:rPr>
        <w:t xml:space="preserve">V</w:t>
      </w:r>
      <w:r>
        <w:rPr>
          <w:b w:val="0"/>
          <w:bCs w:val="0"/>
          <w:highlight w:val="none"/>
        </w:rPr>
        <w:t xml:space="preserve">II – termo de cooperação: instrumento utilizado para firmar parcerias com cooperativas de catadores ou entidades de reciclagem, visando ao reaproveitamento, à reciclagem ou à destinação ambientalmente adequada de resíduos e bens inservíveis, nos termos da </w:t>
      </w:r>
      <w:r>
        <w:rPr>
          <w:b w:val="0"/>
          <w:bCs w:val="0"/>
          <w:highlight w:val="none"/>
        </w:rPr>
        <w:t xml:space="preserve">legislação federal, estadual e municipal;</w:t>
      </w:r>
      <w:r>
        <w:rPr>
          <w:b w:val="0"/>
          <w:bCs w:val="0"/>
          <w:highlight w:val="none"/>
        </w:rPr>
      </w:r>
      <w:r/>
    </w:p>
    <w:p>
      <w:pPr>
        <w:pStyle w:val="1034"/>
        <w:pBdr/>
        <w:spacing w:after="0" w:afterAutospacing="0" w:before="0" w:beforeAutospacing="0" w:line="240" w:lineRule="auto"/>
        <w:ind w:firstLine="708"/>
        <w:jc w:val="both"/>
        <w:rPr>
          <w:b w:val="0"/>
          <w:bCs w:val="0"/>
          <w:highlight w:val="none"/>
        </w:rPr>
      </w:pPr>
      <w:r>
        <w:rPr>
          <w:b w:val="0"/>
          <w:bCs w:val="0"/>
          <w:highlight w:val="none"/>
        </w:rPr>
        <w:t xml:space="preserve">V</w:t>
      </w:r>
      <w:r>
        <w:rPr>
          <w:b w:val="0"/>
          <w:bCs w:val="0"/>
          <w:highlight w:val="none"/>
        </w:rPr>
        <w:t xml:space="preserve">III – descaracterização: procedimento destinado a retirar de bem público sua forma, aparência, identificação institucional ou função original, quando necessário para fins de segurança, descarte ambientalmente adequado, doação, reciclagem ou logística rever</w:t>
      </w:r>
      <w:r>
        <w:rPr>
          <w:b w:val="0"/>
          <w:bCs w:val="0"/>
          <w:highlight w:val="none"/>
        </w:rPr>
        <w:t xml:space="preserve">sa.</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0"/>
        <w:jc w:val="center"/>
        <w:rPr>
          <w:b w:val="0"/>
          <w:bCs w:val="0"/>
        </w:rPr>
      </w:pPr>
      <w:r>
        <w:rPr>
          <w:b w:val="0"/>
          <w:bCs w:val="0"/>
        </w:rPr>
        <w:t xml:space="preserve">CAPÍTULO II</w:t>
      </w:r>
      <w:r>
        <w:rPr>
          <w:b w:val="0"/>
          <w:bCs w:val="0"/>
        </w:rPr>
      </w:r>
      <w:r>
        <w:rPr>
          <w:b w:val="0"/>
          <w:bCs w:val="0"/>
        </w:rPr>
      </w:r>
    </w:p>
    <w:p>
      <w:pPr>
        <w:pStyle w:val="1034"/>
        <w:pBdr/>
        <w:spacing w:after="0" w:afterAutospacing="0" w:before="0" w:beforeAutospacing="0" w:line="240" w:lineRule="auto"/>
        <w:ind w:firstLine="0"/>
        <w:jc w:val="center"/>
        <w:rPr>
          <w:b w:val="0"/>
          <w:bCs w:val="0"/>
          <w:highlight w:val="none"/>
        </w:rPr>
      </w:pPr>
      <w:r>
        <w:rPr>
          <w:b w:val="0"/>
          <w:bCs w:val="0"/>
        </w:rPr>
        <w:t xml:space="preserve">DOS PRINCÍPIOS E DIRETRIZES</w:t>
      </w:r>
      <w:r>
        <w:rPr>
          <w:b w:val="0"/>
          <w:bCs w:val="0"/>
          <w:highlight w:val="none"/>
        </w:rPr>
      </w:r>
      <w:r>
        <w:rPr>
          <w:b w:val="0"/>
          <w:bCs w:val="0"/>
          <w:highlight w:val="none"/>
        </w:rPr>
      </w:r>
    </w:p>
    <w:p>
      <w:pPr>
        <w:pStyle w:val="1034"/>
        <w:pBdr/>
        <w:spacing w:after="0" w:afterAutospacing="0" w:before="0" w:beforeAutospacing="0" w:line="240" w:lineRule="auto"/>
        <w:ind w:firstLine="0"/>
        <w:jc w:val="center"/>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bCs/>
        </w:rPr>
        <w:t xml:space="preserve">A</w:t>
      </w:r>
      <w:r>
        <w:rPr>
          <w:b/>
          <w:bCs/>
        </w:rPr>
        <w:t xml:space="preserve">rt. 4º </w:t>
      </w:r>
      <w:r>
        <w:rPr>
          <w:b w:val="0"/>
          <w:bCs w:val="0"/>
        </w:rPr>
        <w:t xml:space="preserve">A Política Integrada de Gestão Patrimonial, de Materiais e de Resíduos Internos rege-se pelos princípios da legalidade, impessoalidade, moralidade, publicidade, eficiência, economicidade, sustentabilidade, integridade, rastreabilidade, segurança ins</w:t>
      </w:r>
      <w:r>
        <w:rPr>
          <w:b w:val="0"/>
          <w:bCs w:val="0"/>
        </w:rPr>
        <w:t xml:space="preserve">titucional, proteção de dados pessoais, segregação de funções e padronização administrativa.</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bCs/>
        </w:rPr>
        <w:t xml:space="preserve">Art. 5º </w:t>
      </w:r>
      <w:r>
        <w:rPr>
          <w:b w:val="0"/>
          <w:bCs w:val="0"/>
        </w:rPr>
        <w:t xml:space="preserve">São diretrizes gerais da Política:</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t xml:space="preserve">I – assegurar a acurácia dos registros patrimoniais e de materiais;</w:t>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t xml:space="preserve">II – promover integração entre setores;</w:t>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t xml:space="preserve">III – manter rastreabilidade e controle de bens;</w:t>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t xml:space="preserve">IV – prevenir perdas, irregularidades e fragilidades de controle;</w:t>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val="0"/>
          <w:bCs w:val="0"/>
        </w:rPr>
        <w:t xml:space="preserve">V – garantir transparência e conformidade normativa;</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highlight w:val="none"/>
        </w:rPr>
        <w:t xml:space="preserve">VI – promover a destinação ambientalmente adequada e a logística reversa dos bens e materiais inservíveis, conforme legislação ambiental e normas técnicas aplicáveis.</w:t>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r>
      <w:r>
        <w:rPr>
          <w:b w:val="0"/>
          <w:bCs w:val="0"/>
        </w:rPr>
      </w:r>
      <w:r>
        <w:rPr>
          <w:b w:val="0"/>
          <w:bCs w:val="0"/>
        </w:rPr>
      </w:r>
    </w:p>
    <w:p>
      <w:pPr>
        <w:pStyle w:val="1034"/>
        <w:pBdr/>
        <w:spacing w:after="0" w:afterAutospacing="0" w:before="0" w:beforeAutospacing="0" w:line="240" w:lineRule="auto"/>
        <w:ind w:right="0" w:firstLine="0" w:left="0"/>
        <w:jc w:val="center"/>
        <w:rPr>
          <w:b w:val="0"/>
          <w:bCs w:val="0"/>
        </w:rPr>
      </w:pPr>
      <w:r>
        <w:rPr>
          <w:b w:val="0"/>
          <w:bCs w:val="0"/>
        </w:rPr>
        <w:t xml:space="preserve">CAPÍTULO III</w:t>
      </w:r>
      <w:r>
        <w:rPr>
          <w:b w:val="0"/>
          <w:bCs w:val="0"/>
        </w:rPr>
      </w:r>
      <w:r>
        <w:rPr>
          <w:b w:val="0"/>
          <w:bCs w:val="0"/>
        </w:rPr>
      </w:r>
    </w:p>
    <w:p>
      <w:pPr>
        <w:pStyle w:val="1034"/>
        <w:pBdr/>
        <w:spacing w:after="0" w:afterAutospacing="0" w:before="0" w:beforeAutospacing="0" w:line="240" w:lineRule="auto"/>
        <w:ind w:right="0" w:firstLine="0" w:left="0"/>
        <w:jc w:val="center"/>
        <w:rPr>
          <w:b w:val="0"/>
          <w:bCs w:val="0"/>
          <w:highlight w:val="none"/>
        </w:rPr>
      </w:pPr>
      <w:r>
        <w:rPr>
          <w:b w:val="0"/>
          <w:bCs w:val="0"/>
        </w:rPr>
        <w:t xml:space="preserve">DA GESTÃO PATRIMONIAL</w:t>
      </w:r>
      <w:r>
        <w:rPr>
          <w:b w:val="0"/>
          <w:bCs w:val="0"/>
          <w:highlight w:val="none"/>
        </w:rPr>
      </w:r>
      <w:r>
        <w:rPr>
          <w:b w:val="0"/>
          <w:bCs w:val="0"/>
          <w:highlight w:val="none"/>
        </w:rPr>
      </w:r>
    </w:p>
    <w:p>
      <w:pPr>
        <w:pStyle w:val="1034"/>
        <w:pBdr/>
        <w:spacing w:after="0" w:afterAutospacing="0" w:before="0" w:beforeAutospacing="0" w:line="240" w:lineRule="auto"/>
        <w:ind w:right="0" w:firstLine="0" w:left="0"/>
        <w:jc w:val="center"/>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bCs/>
        </w:rPr>
        <w:t xml:space="preserve">Art. 6º </w:t>
      </w:r>
      <w:r>
        <w:t xml:space="preserve">No âmbito da Política Institucional de que trata esta Lei, compete à unidade responsável pela gestão patrimonial, em conformidade com a estrutura administrativa vigente da Câmara Municipal, exercer, de forma integrada, as seguintes atribuições:</w:t>
      </w:r>
      <w:r>
        <w:rPr>
          <w:b w:val="0"/>
          <w:bCs w:val="0"/>
          <w:highlight w:val="none"/>
        </w:rPr>
      </w:r>
      <w:r>
        <w:rPr>
          <w:b w:val="0"/>
          <w:bCs w:val="0"/>
          <w:highlight w:val="none"/>
        </w:rPr>
      </w:r>
    </w:p>
    <w:p>
      <w:pPr>
        <w:pStyle w:val="1034"/>
        <w:pBdr/>
        <w:spacing w:after="0" w:afterAutospacing="0" w:before="0" w:beforeAutospacing="0" w:line="240" w:lineRule="auto"/>
        <w:ind w:firstLine="708"/>
        <w:jc w:val="both"/>
        <w:rPr/>
      </w:pPr>
      <w:r>
        <w:rPr>
          <w:b w:val="0"/>
          <w:bCs w:val="0"/>
          <w:highlight w:val="none"/>
        </w:rPr>
      </w:r>
      <w:r>
        <w:rPr>
          <w:b w:val="0"/>
          <w:bCs w:val="0"/>
          <w:highlight w:val="none"/>
        </w:rPr>
      </w:r>
      <w:r/>
    </w:p>
    <w:p>
      <w:pPr>
        <w:pStyle w:val="1034"/>
        <w:pBdr/>
        <w:spacing w:after="0" w:afterAutospacing="0" w:before="0" w:beforeAutospacing="0" w:line="240" w:lineRule="auto"/>
        <w:ind w:firstLine="708"/>
        <w:jc w:val="both"/>
        <w:rPr/>
      </w:pPr>
      <w:r>
        <w:rPr>
          <w:b w:val="0"/>
          <w:bCs w:val="0"/>
        </w:rPr>
        <w:t xml:space="preserve">I – manter o cadastro geral dos bens permanentes da Câmara Municipal;</w:t>
      </w:r>
      <w:r>
        <w:rPr>
          <w:b w:val="0"/>
          <w:bCs w:val="0"/>
        </w:rPr>
      </w:r>
      <w:r/>
    </w:p>
    <w:p>
      <w:pPr>
        <w:pStyle w:val="1034"/>
        <w:pBdr/>
        <w:spacing w:after="0" w:afterAutospacing="0" w:before="0" w:beforeAutospacing="0" w:line="240" w:lineRule="auto"/>
        <w:ind w:firstLine="708"/>
        <w:jc w:val="both"/>
        <w:rPr/>
      </w:pPr>
      <w:r>
        <w:rPr>
          <w:b w:val="0"/>
          <w:bCs w:val="0"/>
        </w:rPr>
        <w:t xml:space="preserve">II – coordenar os inventários anual e extraordinários;</w:t>
      </w:r>
      <w:r>
        <w:rPr>
          <w:b w:val="0"/>
          <w:bCs w:val="0"/>
        </w:rPr>
      </w:r>
      <w:r/>
    </w:p>
    <w:p>
      <w:pPr>
        <w:pStyle w:val="1034"/>
        <w:pBdr/>
        <w:spacing w:after="0" w:afterAutospacing="0" w:before="0" w:beforeAutospacing="0" w:line="240" w:lineRule="auto"/>
        <w:ind w:firstLine="708"/>
        <w:jc w:val="both"/>
        <w:rPr/>
      </w:pPr>
      <w:r>
        <w:rPr>
          <w:b w:val="0"/>
          <w:bCs w:val="0"/>
        </w:rPr>
        <w:t xml:space="preserve">III – realizar o tombamento, a identificação, a classificação e o registro dos bens;</w:t>
      </w:r>
      <w:r>
        <w:rPr>
          <w:b w:val="0"/>
          <w:bCs w:val="0"/>
        </w:rPr>
      </w:r>
      <w:r/>
    </w:p>
    <w:p>
      <w:pPr>
        <w:pStyle w:val="1034"/>
        <w:pBdr/>
        <w:spacing w:after="0" w:afterAutospacing="0" w:before="0" w:beforeAutospacing="0" w:line="240" w:lineRule="auto"/>
        <w:ind w:firstLine="708"/>
        <w:jc w:val="both"/>
        <w:rPr>
          <w:b w:val="0"/>
          <w:bCs w:val="0"/>
        </w:rPr>
      </w:pPr>
      <w:r>
        <w:rPr>
          <w:b w:val="0"/>
          <w:bCs w:val="0"/>
        </w:rPr>
        <w:t xml:space="preserve">IV – instruir e acompanhar processos de transferência, reavaliação, descaracterização, inservibilidade, destinação e baixa patrimonial;</w:t>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r>
      <w:r>
        <w:rPr>
          <w:b w:val="0"/>
          <w:bCs w:val="0"/>
        </w:rPr>
        <w:t xml:space="preserve">V – elaborar parecer técnico de inservibilidade, contendo fundamentação sobre o estado, a utilidade e o custo-benefício da manutenção, descaracterização ou baixa do bem, para fins de desfazimento ou destinação ambiental;</w:t>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val="0"/>
          <w:bCs w:val="0"/>
        </w:rPr>
        <w:t xml:space="preserve">VI – emitir laudos técnicos e demais registros necessários aos procedimentos patrimoniais;</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val="0"/>
          <w:bCs w:val="0"/>
        </w:rPr>
        <w:t xml:space="preserve">VII – promover a integração com as unidades de Contabilidade, Controladoria, Almoxarifado e Tecnologia da Informação;</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val="0"/>
          <w:bCs w:val="0"/>
        </w:rPr>
        <w:t xml:space="preserve">VIII – manter atualizados os sistemas institucionais de controle patrimonial, </w:t>
      </w:r>
      <w:r>
        <w:rPr>
          <w:b w:val="0"/>
          <w:bCs w:val="0"/>
          <w:highlight w:val="white"/>
        </w:rPr>
        <w:t xml:space="preserve">assegurando rastreabilidade e conformidade administrativa</w:t>
      </w:r>
      <w:r>
        <w:rPr>
          <w:b w:val="0"/>
          <w:bCs w:val="0"/>
          <w:highlight w:val="none"/>
        </w:rPr>
        <w:t xml:space="preserve">;</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white"/>
        </w:rPr>
      </w:pPr>
      <w:r>
        <w:rPr>
          <w:b w:val="0"/>
          <w:bCs w:val="0"/>
          <w:highlight w:val="none"/>
        </w:rPr>
      </w:r>
      <w:r>
        <w:rPr>
          <w:b w:val="0"/>
          <w:bCs w:val="0"/>
          <w:highlight w:val="white"/>
        </w:rPr>
      </w:r>
      <w:r>
        <w:rPr>
          <w:b w:val="0"/>
          <w:bCs w:val="0"/>
          <w:highlight w:val="white"/>
        </w:rPr>
      </w:r>
    </w:p>
    <w:p>
      <w:pPr>
        <w:pStyle w:val="1034"/>
        <w:pBdr/>
        <w:spacing w:after="0" w:afterAutospacing="0" w:before="0" w:beforeAutospacing="0" w:line="240" w:lineRule="auto"/>
        <w:ind w:firstLine="708"/>
        <w:jc w:val="both"/>
        <w:rPr>
          <w:b w:val="0"/>
          <w:bCs w:val="0"/>
        </w:rPr>
      </w:pPr>
      <w:r>
        <w:rPr>
          <w:b/>
          <w:bCs/>
          <w:highlight w:val="none"/>
        </w:rPr>
        <w:t xml:space="preserve">§ 1º </w:t>
      </w:r>
      <w:r>
        <w:rPr>
          <w:b w:val="0"/>
          <w:bCs w:val="0"/>
          <w:highlight w:val="none"/>
        </w:rPr>
      </w:r>
      <w:r>
        <w:rPr>
          <w:b w:val="0"/>
          <w:bCs w:val="0"/>
          <w:highlight w:val="none"/>
        </w:rPr>
        <w:t xml:space="preserve">O processo de desfazimento de bens observará os princípios da economicidade, eficiência e sustentabilidade, podendo o regulamento estabelecer diretrizes para o reaproveitamento dos bens no âmbito da Administração Pública Municipal ou para sua destinação a e</w:t>
      </w:r>
      <w:r>
        <w:rPr>
          <w:b w:val="0"/>
          <w:bCs w:val="0"/>
          <w:highlight w:val="none"/>
        </w:rPr>
        <w:t xml:space="preserve">ntidades assistenciais ou iniciativas de reciclagem.</w:t>
      </w:r>
      <w:r>
        <w:rPr>
          <w:b w:val="0"/>
          <w:bCs w:val="0"/>
          <w:highlight w:val="none"/>
        </w:rPr>
      </w:r>
      <w:r>
        <w:rPr>
          <w:b w:val="0"/>
          <w:bCs w:val="0"/>
          <w:highlight w:val="none"/>
        </w:rPr>
      </w:r>
      <w:r>
        <w:rPr>
          <w:b w:val="0"/>
          <w:bCs w:val="0"/>
          <w:highlight w:val="none"/>
        </w:rPr>
      </w:r>
    </w:p>
    <w:p>
      <w:pPr>
        <w:pStyle w:val="1034"/>
        <w:pBdr/>
        <w:spacing w:after="0" w:afterAutospacing="0" w:before="0" w:beforeAutospacing="0" w:line="240" w:lineRule="auto"/>
        <w:ind w:firstLine="708"/>
        <w:jc w:val="both"/>
        <w:rPr/>
      </w:pPr>
      <w:r>
        <w:rPr>
          <w:b/>
          <w:bCs/>
          <w:highlight w:val="none"/>
        </w:rPr>
      </w:r>
      <w:r>
        <w:rPr>
          <w:b/>
          <w:bCs/>
          <w:highlight w:val="none"/>
        </w:rPr>
      </w:r>
    </w:p>
    <w:p>
      <w:pPr>
        <w:pStyle w:val="1034"/>
        <w:pBdr/>
        <w:spacing w:after="0" w:afterAutospacing="0" w:before="0" w:beforeAutospacing="0" w:line="240" w:lineRule="auto"/>
        <w:ind w:firstLine="708"/>
        <w:jc w:val="both"/>
        <w:rPr>
          <w:b w:val="0"/>
          <w:bCs w:val="0"/>
        </w:rPr>
      </w:pPr>
      <w:r>
        <w:rPr>
          <w:b/>
          <w:bCs/>
          <w:highlight w:val="none"/>
        </w:rPr>
        <w:t xml:space="preserve">§ 2º </w:t>
      </w:r>
      <w:r>
        <w:rPr>
          <w:b w:val="0"/>
          <w:bCs w:val="0"/>
          <w:highlight w:val="none"/>
        </w:rPr>
        <w:t xml:space="preserve">As atribuições previstas neste artigo não afastam nem substituem as competências institucionais da unidade de patrimônio definidas na estrutura administrativa da Câmara Municipal, que permanecem integralmente aplicáveis.</w:t>
      </w:r>
      <w:r>
        <w:rPr>
          <w:b w:val="0"/>
          <w:bCs w:val="0"/>
          <w:highlight w:val="none"/>
        </w:rPr>
      </w:r>
      <w:r>
        <w:rPr>
          <w:b w:val="0"/>
          <w:bCs w:val="0"/>
        </w:rPr>
      </w:r>
    </w:p>
    <w:p>
      <w:pPr>
        <w:pStyle w:val="1034"/>
        <w:pBdr/>
        <w:spacing w:after="0" w:afterAutospacing="0" w:before="0" w:beforeAutospacing="0" w:line="240" w:lineRule="auto"/>
        <w:ind w:firstLine="708"/>
        <w:jc w:val="both"/>
        <w:rPr>
          <w:b w:val="0"/>
          <w:bCs w:val="0"/>
        </w:rPr>
      </w:pPr>
      <w:r>
        <w:rPr>
          <w:b w:val="0"/>
          <w:bCs w:val="0"/>
        </w:rPr>
      </w:r>
      <w:r>
        <w:rPr>
          <w:b w:val="0"/>
          <w:bCs w:val="0"/>
        </w:rPr>
      </w:r>
      <w:r>
        <w:rPr>
          <w:b w:val="0"/>
          <w:bCs w:val="0"/>
        </w:rPr>
      </w:r>
    </w:p>
    <w:p>
      <w:pPr>
        <w:pStyle w:val="1034"/>
        <w:pBdr/>
        <w:spacing w:after="0" w:afterAutospacing="0" w:before="0" w:beforeAutospacing="0" w:line="240" w:lineRule="auto"/>
        <w:ind w:firstLine="0"/>
        <w:jc w:val="center"/>
        <w:rPr>
          <w:b w:val="0"/>
          <w:bCs w:val="0"/>
        </w:rPr>
      </w:pPr>
      <w:r>
        <w:rPr>
          <w:b w:val="0"/>
          <w:bCs w:val="0"/>
        </w:rPr>
        <w:t xml:space="preserve">CAPÍTULO IV</w:t>
      </w:r>
      <w:r>
        <w:rPr>
          <w:b w:val="0"/>
          <w:bCs w:val="0"/>
        </w:rPr>
      </w:r>
      <w:r>
        <w:rPr>
          <w:b w:val="0"/>
          <w:bCs w:val="0"/>
        </w:rPr>
      </w:r>
    </w:p>
    <w:p>
      <w:pPr>
        <w:pStyle w:val="1034"/>
        <w:pBdr/>
        <w:spacing w:after="0" w:afterAutospacing="0" w:before="0" w:beforeAutospacing="0" w:line="240" w:lineRule="auto"/>
        <w:ind w:firstLine="0"/>
        <w:jc w:val="center"/>
        <w:rPr>
          <w:b w:val="0"/>
          <w:bCs w:val="0"/>
          <w:highlight w:val="none"/>
        </w:rPr>
      </w:pPr>
      <w:r>
        <w:rPr>
          <w:b w:val="0"/>
          <w:bCs w:val="0"/>
        </w:rPr>
        <w:t xml:space="preserve">DA GESTÃO DE MATERIAIS E DO ALMOXARIFADO</w:t>
      </w:r>
      <w:r>
        <w:rPr>
          <w:b w:val="0"/>
          <w:bCs w:val="0"/>
          <w:highlight w:val="none"/>
        </w:rPr>
      </w:r>
      <w:r>
        <w:rPr>
          <w:b w:val="0"/>
          <w:bCs w:val="0"/>
          <w:highlight w:val="none"/>
        </w:rPr>
      </w:r>
    </w:p>
    <w:p>
      <w:pPr>
        <w:pStyle w:val="1034"/>
        <w:pBdr/>
        <w:spacing w:after="0" w:afterAutospacing="0" w:before="0" w:beforeAutospacing="0" w:line="240" w:lineRule="auto"/>
        <w:ind w:firstLine="0"/>
        <w:jc w:val="center"/>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bCs/>
        </w:rPr>
        <w:t xml:space="preserve">Art. 7º</w:t>
      </w:r>
      <w:r>
        <w:rPr>
          <w:b w:val="0"/>
          <w:bCs w:val="0"/>
        </w:rPr>
        <w:t xml:space="preserve"> </w:t>
      </w:r>
      <w:r>
        <w:t xml:space="preserve">No âmbito da Política Institucional de que trata esta Lei, compete à unidade responsável pela gestão do almoxarifado, em conformidade com a estrutura administrativa vigente da Câmara Municipal, exercer, de forma padronizada, as seguintes atribuições</w:t>
      </w:r>
      <w:r>
        <w:rPr>
          <w:b w:val="0"/>
          <w:bCs w:val="0"/>
        </w:rPr>
        <w:t xml:space="preserve">:</w:t>
      </w:r>
      <w:r>
        <w:rPr>
          <w:b w:val="0"/>
          <w:bCs w:val="0"/>
          <w:highlight w:val="none"/>
        </w:rPr>
      </w:r>
      <w:r>
        <w:rPr>
          <w:b w:val="0"/>
          <w:bCs w:val="0"/>
          <w:highlight w:val="none"/>
        </w:rPr>
      </w:r>
    </w:p>
    <w:p>
      <w:pPr>
        <w:pStyle w:val="1034"/>
        <w:pBdr/>
        <w:spacing w:after="0" w:afterAutospacing="0" w:before="0" w:beforeAutospacing="0" w:line="240" w:lineRule="auto"/>
        <w:ind w:firstLine="708"/>
        <w:jc w:val="both"/>
        <w:rPr/>
      </w:pPr>
      <w:r>
        <w:rPr>
          <w:b w:val="0"/>
          <w:bCs w:val="0"/>
          <w:highlight w:val="none"/>
        </w:rPr>
      </w:r>
      <w:r>
        <w:rPr>
          <w:b w:val="0"/>
          <w:bCs w:val="0"/>
          <w:highlight w:val="none"/>
        </w:rPr>
      </w:r>
      <w:r/>
    </w:p>
    <w:p>
      <w:pPr>
        <w:pStyle w:val="1034"/>
        <w:pBdr/>
        <w:spacing w:after="0" w:afterAutospacing="0" w:before="0" w:beforeAutospacing="0" w:line="240" w:lineRule="auto"/>
        <w:ind w:firstLine="708"/>
        <w:jc w:val="both"/>
        <w:rPr/>
      </w:pPr>
      <w:r>
        <w:rPr>
          <w:b w:val="0"/>
          <w:bCs w:val="0"/>
        </w:rPr>
        <w:t xml:space="preserve">I – receber, conferir, registrar, armazenar e distribuir materiais de consumo e correlatos;</w:t>
      </w:r>
      <w:r>
        <w:rPr>
          <w:b w:val="0"/>
          <w:bCs w:val="0"/>
        </w:rPr>
      </w:r>
      <w:r/>
    </w:p>
    <w:p>
      <w:pPr>
        <w:pStyle w:val="1034"/>
        <w:pBdr/>
        <w:spacing w:after="0" w:afterAutospacing="0" w:before="0" w:beforeAutospacing="0" w:line="240" w:lineRule="auto"/>
        <w:ind w:firstLine="708"/>
        <w:jc w:val="both"/>
        <w:rPr/>
      </w:pPr>
      <w:r>
        <w:rPr>
          <w:b w:val="0"/>
          <w:bCs w:val="0"/>
        </w:rPr>
        <w:t xml:space="preserve">II – manter controles de estoque físico e eletrônico atualizados, com indicadores de movimentação;</w:t>
      </w:r>
      <w:r>
        <w:rPr>
          <w:b w:val="0"/>
          <w:bCs w:val="0"/>
        </w:rPr>
      </w:r>
      <w:r/>
    </w:p>
    <w:p>
      <w:pPr>
        <w:pStyle w:val="1034"/>
        <w:pBdr/>
        <w:spacing w:after="0" w:afterAutospacing="0" w:before="0" w:beforeAutospacing="0" w:line="240" w:lineRule="auto"/>
        <w:ind w:firstLine="708"/>
        <w:jc w:val="both"/>
        <w:rPr/>
      </w:pPr>
      <w:r>
        <w:rPr>
          <w:b w:val="0"/>
          <w:bCs w:val="0"/>
        </w:rPr>
        <w:t xml:space="preserve">III – realizar inventários rotativos e o inventário anual, consolidando relatórios e registros formais;</w:t>
      </w:r>
      <w:r>
        <w:rPr>
          <w:b w:val="0"/>
          <w:bCs w:val="0"/>
        </w:rPr>
      </w:r>
      <w:r/>
    </w:p>
    <w:p>
      <w:pPr>
        <w:pStyle w:val="1034"/>
        <w:pBdr/>
        <w:spacing w:after="0" w:afterAutospacing="0" w:before="0" w:beforeAutospacing="0" w:line="240" w:lineRule="auto"/>
        <w:ind w:firstLine="708"/>
        <w:jc w:val="both"/>
        <w:rPr/>
      </w:pPr>
      <w:r>
        <w:rPr>
          <w:b w:val="0"/>
          <w:bCs w:val="0"/>
        </w:rPr>
        <w:t xml:space="preserve">IV – assegurar a organização, segurança e integridade dos materiais armazenados;</w:t>
      </w:r>
      <w:r>
        <w:rPr>
          <w:b w:val="0"/>
          <w:bCs w:val="0"/>
        </w:rPr>
      </w:r>
      <w:r/>
    </w:p>
    <w:p>
      <w:pPr>
        <w:pStyle w:val="1034"/>
        <w:pBdr/>
        <w:spacing w:after="0" w:afterAutospacing="0" w:before="0" w:beforeAutospacing="0" w:line="240" w:lineRule="auto"/>
        <w:ind w:firstLine="708"/>
        <w:jc w:val="both"/>
        <w:rPr/>
      </w:pPr>
      <w:r>
        <w:rPr>
          <w:b w:val="0"/>
          <w:bCs w:val="0"/>
        </w:rPr>
        <w:t xml:space="preserve">V – promover integração com as unidades de Patrimônio e Contabilidade para fins de conciliação e controle;</w:t>
      </w:r>
      <w:r>
        <w:rPr>
          <w:b w:val="0"/>
          <w:bCs w:val="0"/>
        </w:rPr>
      </w:r>
      <w:r/>
    </w:p>
    <w:p>
      <w:pPr>
        <w:pStyle w:val="1034"/>
        <w:pBdr/>
        <w:spacing w:after="0" w:afterAutospacing="0" w:before="0" w:beforeAutospacing="0" w:line="240" w:lineRule="auto"/>
        <w:ind w:firstLine="708"/>
        <w:jc w:val="both"/>
        <w:rPr/>
      </w:pPr>
      <w:r>
        <w:rPr>
          <w:b w:val="0"/>
          <w:bCs w:val="0"/>
        </w:rPr>
        <w:t xml:space="preserve">VI – manter atualizada a documentação necessária às rotinas de entrada, movimentação, devolução e saída de materiais;</w:t>
      </w:r>
      <w:r>
        <w:rPr>
          <w:b w:val="0"/>
          <w:bCs w:val="0"/>
        </w:rPr>
      </w:r>
      <w:r/>
    </w:p>
    <w:p>
      <w:pPr>
        <w:pStyle w:val="1034"/>
        <w:pBdr/>
        <w:spacing w:after="0" w:afterAutospacing="0" w:before="0" w:beforeAutospacing="0" w:line="240" w:lineRule="auto"/>
        <w:ind w:firstLine="708"/>
        <w:jc w:val="both"/>
        <w:rPr>
          <w:b w:val="0"/>
          <w:bCs w:val="0"/>
          <w:highlight w:val="none"/>
        </w:rPr>
      </w:pPr>
      <w:r>
        <w:rPr>
          <w:b w:val="0"/>
          <w:bCs w:val="0"/>
        </w:rPr>
        <w:t xml:space="preserve">VII – observar integralmente os procedimentos e fluxos previstos nos atos infralegais, especialmente no Manual de Gestão do Almoxarifado.</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bCs/>
        </w:rPr>
        <w:t xml:space="preserve">Parágrafo único</w:t>
      </w:r>
      <w:r>
        <w:rPr>
          <w:b/>
          <w:bCs/>
        </w:rPr>
        <w:t xml:space="preserve">.</w:t>
      </w:r>
      <w:r>
        <w:t xml:space="preserve"> As atribuições previstas neste artigo não afastam nem substituem as competências institucionais da unidade de almoxarifado definidas na estrutura administrativa da Câmara Municipal, que permanecem integralmente aplicáveis.</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0"/>
        <w:jc w:val="center"/>
        <w:rPr>
          <w:b w:val="0"/>
          <w:bCs w:val="0"/>
        </w:rPr>
      </w:pPr>
      <w:r>
        <w:rPr>
          <w:b w:val="0"/>
          <w:bCs w:val="0"/>
          <w:highlight w:val="none"/>
        </w:rPr>
      </w:r>
      <w:r>
        <w:rPr>
          <w:b w:val="0"/>
          <w:bCs w:val="0"/>
          <w:highlight w:val="none"/>
        </w:rPr>
      </w:r>
      <w:r>
        <w:rPr>
          <w:b w:val="0"/>
          <w:bCs w:val="0"/>
          <w:highlight w:val="none"/>
        </w:rPr>
      </w:r>
    </w:p>
    <w:p>
      <w:pPr>
        <w:pStyle w:val="1034"/>
        <w:pBdr/>
        <w:spacing w:after="0" w:afterAutospacing="0" w:before="0" w:beforeAutospacing="0" w:line="240" w:lineRule="auto"/>
        <w:ind w:firstLine="0"/>
        <w:jc w:val="center"/>
        <w:rPr>
          <w:b w:val="0"/>
          <w:bCs w:val="0"/>
          <w:highlight w:val="none"/>
        </w:rPr>
      </w:pPr>
      <w:r>
        <w:rPr>
          <w:b w:val="0"/>
          <w:bCs w:val="0"/>
          <w:highlight w:val="none"/>
        </w:rPr>
      </w:r>
      <w:r>
        <w:rPr>
          <w:b w:val="0"/>
          <w:bCs w:val="0"/>
          <w:highlight w:val="none"/>
        </w:rPr>
      </w:r>
      <w:r>
        <w:rPr>
          <w:b w:val="0"/>
          <w:bCs w:val="0"/>
          <w:highlight w:val="none"/>
        </w:rPr>
      </w:r>
    </w:p>
    <w:p>
      <w:pPr>
        <w:pStyle w:val="1034"/>
        <w:pBdr/>
        <w:spacing w:after="0" w:afterAutospacing="0" w:before="0" w:beforeAutospacing="0" w:line="240" w:lineRule="auto"/>
        <w:ind w:firstLine="0"/>
        <w:jc w:val="center"/>
        <w:rPr>
          <w:b w:val="0"/>
          <w:bCs w:val="0"/>
          <w:highlight w:val="none"/>
        </w:rPr>
      </w:pPr>
      <w:r>
        <w:rPr>
          <w:b w:val="0"/>
          <w:bCs w:val="0"/>
          <w:highlight w:val="none"/>
        </w:rPr>
      </w:r>
      <w:r>
        <w:rPr>
          <w:b w:val="0"/>
          <w:bCs w:val="0"/>
          <w:highlight w:val="none"/>
        </w:rPr>
      </w:r>
      <w:r>
        <w:rPr>
          <w:b w:val="0"/>
          <w:bCs w:val="0"/>
          <w:highlight w:val="none"/>
        </w:rPr>
      </w:r>
    </w:p>
    <w:p>
      <w:pPr>
        <w:pStyle w:val="1034"/>
        <w:pBdr/>
        <w:spacing w:after="0" w:afterAutospacing="0" w:before="0" w:beforeAutospacing="0" w:line="240" w:lineRule="auto"/>
        <w:ind w:firstLine="0"/>
        <w:jc w:val="center"/>
        <w:rPr>
          <w:b w:val="0"/>
          <w:bCs w:val="0"/>
          <w:highlight w:val="none"/>
        </w:rPr>
      </w:pPr>
      <w:r>
        <w:rPr>
          <w:b w:val="0"/>
          <w:bCs w:val="0"/>
        </w:rPr>
        <w:t xml:space="preserve">CAPÍTULO V</w:t>
      </w:r>
      <w:r>
        <w:rPr>
          <w:b w:val="0"/>
          <w:bCs w:val="0"/>
        </w:rPr>
      </w:r>
      <w:r>
        <w:rPr>
          <w:b w:val="0"/>
          <w:bCs w:val="0"/>
        </w:rPr>
      </w:r>
    </w:p>
    <w:p>
      <w:pPr>
        <w:pStyle w:val="1034"/>
        <w:pBdr/>
        <w:spacing w:after="0" w:afterAutospacing="0" w:before="0" w:beforeAutospacing="0" w:line="240" w:lineRule="auto"/>
        <w:ind w:firstLine="0"/>
        <w:jc w:val="center"/>
        <w:rPr>
          <w:b w:val="0"/>
          <w:bCs w:val="0"/>
          <w:highlight w:val="none"/>
        </w:rPr>
      </w:pPr>
      <w:r>
        <w:rPr>
          <w:b w:val="0"/>
          <w:bCs w:val="0"/>
        </w:rPr>
        <w:t xml:space="preserve">DA GESTÃO DOCUMENTAL</w:t>
      </w:r>
      <w:r>
        <w:rPr>
          <w:b w:val="0"/>
          <w:bCs w:val="0"/>
          <w:highlight w:val="none"/>
        </w:rPr>
      </w:r>
      <w:r>
        <w:rPr>
          <w:b w:val="0"/>
          <w:bCs w:val="0"/>
          <w:highlight w:val="none"/>
        </w:rPr>
      </w:r>
    </w:p>
    <w:p>
      <w:pPr>
        <w:pStyle w:val="1034"/>
        <w:pBdr/>
        <w:spacing w:after="0" w:afterAutospacing="0" w:before="0" w:beforeAutospacing="0" w:line="240" w:lineRule="auto"/>
        <w:ind w:firstLine="0"/>
        <w:jc w:val="center"/>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bCs/>
        </w:rPr>
        <w:t xml:space="preserve">Art. 8º </w:t>
      </w:r>
      <w:r>
        <w:rPr>
          <w:b w:val="0"/>
          <w:bCs w:val="0"/>
        </w:rPr>
        <w:t xml:space="preserve">A gestão documental relativa às atividades de patrimônio e almoxarifado observará:</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t xml:space="preserve">I – classificação e guarda conforme tabela de temporalidade;</w:t>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t xml:space="preserve">II – integração com o órgão responsável pelo </w:t>
      </w:r>
      <w:r>
        <w:rPr>
          <w:b w:val="0"/>
          <w:bCs w:val="0"/>
        </w:rPr>
        <w:t xml:space="preserve">Arquivo da Câmara Municipal;</w:t>
      </w:r>
      <w:r/>
      <w:r>
        <w:rPr>
          <w:b w:val="0"/>
          <w:bCs w:val="0"/>
        </w:rPr>
      </w:r>
    </w:p>
    <w:p>
      <w:pPr>
        <w:pStyle w:val="1034"/>
        <w:pBdr/>
        <w:spacing w:after="0" w:afterAutospacing="0" w:before="0" w:beforeAutospacing="0" w:line="240" w:lineRule="auto"/>
        <w:ind w:firstLine="708"/>
        <w:jc w:val="both"/>
        <w:rPr>
          <w:b w:val="0"/>
          <w:bCs w:val="0"/>
        </w:rPr>
      </w:pPr>
      <w:r>
        <w:rPr>
          <w:b w:val="0"/>
          <w:bCs w:val="0"/>
        </w:rPr>
        <w:t xml:space="preserve">III – preservação e destinação adequada;</w:t>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t xml:space="preserve">IV – cumprimento da legislação de proteção de dados pessoais.</w:t>
      </w:r>
      <w:r>
        <w:rPr>
          <w:b w:val="0"/>
          <w:bCs w:val="0"/>
        </w:rPr>
      </w:r>
      <w:r>
        <w:rPr>
          <w:b w:val="0"/>
          <w:bCs w:val="0"/>
        </w:rPr>
      </w:r>
    </w:p>
    <w:p>
      <w:pPr>
        <w:pStyle w:val="1034"/>
        <w:pBdr/>
        <w:spacing w:after="0" w:afterAutospacing="0" w:before="0" w:beforeAutospacing="0" w:line="240" w:lineRule="auto"/>
        <w:ind w:firstLine="708"/>
        <w:jc w:val="both"/>
        <w:rPr>
          <w:b w:val="0"/>
          <w:bCs w:val="0"/>
        </w:rPr>
      </w:pPr>
      <w:r>
        <w:rPr>
          <w:b w:val="0"/>
          <w:bCs w:val="0"/>
        </w:rPr>
      </w:r>
      <w:r>
        <w:rPr>
          <w:b w:val="0"/>
          <w:bCs w:val="0"/>
        </w:rPr>
      </w:r>
      <w:r>
        <w:rPr>
          <w:b w:val="0"/>
          <w:bCs w:val="0"/>
        </w:rPr>
      </w:r>
    </w:p>
    <w:p>
      <w:pPr>
        <w:pStyle w:val="1034"/>
        <w:pBdr/>
        <w:spacing w:after="0" w:afterAutospacing="0" w:before="0" w:beforeAutospacing="0" w:line="240" w:lineRule="auto"/>
        <w:ind w:right="0" w:firstLine="0" w:left="0"/>
        <w:jc w:val="center"/>
        <w:rPr>
          <w:b w:val="0"/>
          <w:bCs w:val="0"/>
        </w:rPr>
      </w:pPr>
      <w:r>
        <w:rPr>
          <w:b w:val="0"/>
          <w:bCs w:val="0"/>
        </w:rPr>
        <w:t xml:space="preserve">CAPÍTULO VI</w:t>
      </w:r>
      <w:r>
        <w:rPr>
          <w:b w:val="0"/>
          <w:bCs w:val="0"/>
        </w:rPr>
      </w:r>
      <w:r>
        <w:rPr>
          <w:b w:val="0"/>
          <w:bCs w:val="0"/>
        </w:rPr>
      </w:r>
    </w:p>
    <w:p>
      <w:pPr>
        <w:pStyle w:val="1034"/>
        <w:pBdr/>
        <w:spacing w:after="0" w:afterAutospacing="0" w:before="0" w:beforeAutospacing="0" w:line="240" w:lineRule="auto"/>
        <w:ind w:right="0" w:firstLine="0" w:left="0"/>
        <w:jc w:val="center"/>
        <w:rPr>
          <w:b w:val="0"/>
          <w:bCs w:val="0"/>
          <w:highlight w:val="none"/>
        </w:rPr>
      </w:pPr>
      <w:r>
        <w:rPr>
          <w:b w:val="0"/>
          <w:bCs w:val="0"/>
        </w:rPr>
        <w:t xml:space="preserve">DA GESTÃO DE RESÍDUOS INTERNOS</w:t>
      </w:r>
      <w:r>
        <w:rPr>
          <w:b w:val="0"/>
          <w:bCs w:val="0"/>
          <w:highlight w:val="none"/>
        </w:rPr>
      </w:r>
      <w:r>
        <w:rPr>
          <w:b w:val="0"/>
          <w:bCs w:val="0"/>
          <w:highlight w:val="none"/>
        </w:rPr>
      </w:r>
    </w:p>
    <w:p>
      <w:pPr>
        <w:pStyle w:val="1034"/>
        <w:pBdr/>
        <w:spacing w:after="0" w:afterAutospacing="0" w:before="0" w:beforeAutospacing="0" w:line="240" w:lineRule="auto"/>
        <w:ind w:right="0" w:firstLine="0" w:left="0"/>
        <w:jc w:val="center"/>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bCs/>
        </w:rPr>
        <w:t xml:space="preserve">Art. 9º</w:t>
      </w:r>
      <w:r>
        <w:rPr>
          <w:b w:val="0"/>
          <w:bCs w:val="0"/>
        </w:rPr>
        <w:t xml:space="preserve"> </w:t>
      </w:r>
      <w:r>
        <w:t xml:space="preserve">A gestão dos resíduos sólidos gerados internamente pela Câmara Municipal observará as diretrizes da Política Nacional de Resíduos Sólidos e da Lei Municipal nº 5.102/2023, bem como as normas que vierem a ser editadas pela própria Câmara Municipal para regu</w:t>
      </w:r>
      <w:r>
        <w:t xml:space="preserve">lamentar a matéria no âmbito interno, competindo às suas unidades administrativas assegurar:</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pPr>
      <w:r>
        <w:rPr>
          <w:b w:val="0"/>
          <w:bCs w:val="0"/>
          <w:highlight w:val="white"/>
        </w:rPr>
        <w:t xml:space="preserve">I – a segregação e o acondicionamento adequados dos resíduos sólidos nas dependências internas da Câmara Municipal;</w:t>
      </w:r>
      <w:r>
        <w:rPr>
          <w:b w:val="0"/>
          <w:bCs w:val="0"/>
          <w:highlight w:val="white"/>
        </w:rPr>
      </w:r>
      <w:r/>
    </w:p>
    <w:p>
      <w:pPr>
        <w:pStyle w:val="1034"/>
        <w:pBdr/>
        <w:spacing w:after="0" w:afterAutospacing="0" w:before="0" w:beforeAutospacing="0" w:line="240" w:lineRule="auto"/>
        <w:ind w:firstLine="708"/>
        <w:jc w:val="both"/>
        <w:rPr/>
      </w:pPr>
      <w:r>
        <w:rPr>
          <w:b w:val="0"/>
          <w:bCs w:val="0"/>
          <w:highlight w:val="white"/>
        </w:rPr>
        <w:t xml:space="preserve">II – </w:t>
      </w:r>
      <w:r>
        <w:rPr>
          <w:b w:val="0"/>
          <w:bCs w:val="0"/>
          <w:highlight w:val="white"/>
        </w:rPr>
        <w:t xml:space="preserve">destinação ambientalmente adequada dos resíduos, priorizando, quando possível, a integração com o sistema municipal de coleta seletiva, sem prejuízo das competências e rotinas internas da Câmara Municipal;</w:t>
      </w:r>
      <w:r>
        <w:rPr>
          <w:b w:val="0"/>
          <w:bCs w:val="0"/>
          <w:highlight w:val="white"/>
        </w:rPr>
      </w:r>
      <w:r/>
    </w:p>
    <w:p>
      <w:pPr>
        <w:pStyle w:val="1034"/>
        <w:pBdr/>
        <w:spacing w:after="0" w:afterAutospacing="0" w:before="0" w:beforeAutospacing="0" w:line="240" w:lineRule="auto"/>
        <w:ind w:firstLine="708"/>
        <w:jc w:val="both"/>
        <w:rPr/>
      </w:pPr>
      <w:r>
        <w:rPr>
          <w:b w:val="0"/>
          <w:bCs w:val="0"/>
          <w:highlight w:val="white"/>
        </w:rPr>
        <w:t xml:space="preserve">III – o encaminhamento de bens inservíveis às rotinas de logística reversa previstas na legislação federal e municipal, quando cabível;</w:t>
      </w:r>
      <w:r>
        <w:rPr>
          <w:b w:val="0"/>
          <w:bCs w:val="0"/>
          <w:highlight w:val="white"/>
        </w:rPr>
      </w:r>
      <w:r/>
    </w:p>
    <w:p>
      <w:pPr>
        <w:pStyle w:val="1034"/>
        <w:pBdr/>
        <w:spacing w:after="0" w:afterAutospacing="0" w:before="0" w:beforeAutospacing="0" w:line="240" w:lineRule="auto"/>
        <w:ind w:firstLine="708"/>
        <w:jc w:val="both"/>
        <w:rPr>
          <w:b w:val="0"/>
          <w:bCs w:val="0"/>
          <w:highlight w:val="none"/>
        </w:rPr>
      </w:pPr>
      <w:r>
        <w:rPr>
          <w:b w:val="0"/>
          <w:bCs w:val="0"/>
          <w:highlight w:val="white"/>
        </w:rPr>
        <w:t xml:space="preserve">IV – a articulação com os procedimentos de desfazimento e descaracterização realizados pela unidade de patrimônio.</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white"/>
        </w:rPr>
      </w:pPr>
      <w:r>
        <w:rPr>
          <w:b w:val="0"/>
          <w:bCs w:val="0"/>
          <w:highlight w:val="none"/>
        </w:rPr>
      </w:r>
      <w:r>
        <w:rPr>
          <w:b w:val="0"/>
          <w:bCs w:val="0"/>
          <w:highlight w:val="white"/>
        </w:rPr>
      </w:r>
      <w:r>
        <w:rPr>
          <w:b w:val="0"/>
          <w:bCs w:val="0"/>
          <w:highlight w:val="white"/>
        </w:rPr>
      </w:r>
    </w:p>
    <w:p>
      <w:pPr>
        <w:pStyle w:val="1034"/>
        <w:pBdr/>
        <w:spacing w:after="0" w:afterAutospacing="0" w:before="0" w:beforeAutospacing="0" w:line="240" w:lineRule="auto"/>
        <w:ind w:firstLine="708"/>
        <w:jc w:val="both"/>
        <w:rPr/>
      </w:pPr>
      <w:r>
        <w:rPr>
          <w:b/>
          <w:bCs/>
          <w:highlight w:val="white"/>
        </w:rPr>
        <w:t xml:space="preserve">A</w:t>
      </w:r>
      <w:r>
        <w:rPr>
          <w:b/>
          <w:bCs/>
          <w:highlight w:val="white"/>
        </w:rPr>
        <w:t xml:space="preserve">rt. 10.</w:t>
      </w:r>
      <w:r>
        <w:rPr>
          <w:b w:val="0"/>
          <w:bCs w:val="0"/>
          <w:highlight w:val="white"/>
        </w:rPr>
        <w:t xml:space="preserve"> </w:t>
      </w:r>
      <w:r>
        <w:rPr>
          <w:b w:val="0"/>
          <w:bCs w:val="0"/>
          <w:highlight w:val="white"/>
        </w:rPr>
        <w:t xml:space="preserve">A</w:t>
      </w:r>
      <w:r>
        <w:rPr>
          <w:b w:val="0"/>
          <w:bCs w:val="0"/>
          <w:highlight w:val="white"/>
        </w:rPr>
        <w:t xml:space="preserve"> Câmara Municipal poderá firmar parcerias, convênios ou termos de cooperação com cooperativas de catadores ou outras entidades, nos termos da legislação aplicável, para fins de reaproveitamento, reciclagem, destinação ambientalmente adequada e logística re</w:t>
      </w:r>
      <w:r>
        <w:rPr>
          <w:b w:val="0"/>
          <w:bCs w:val="0"/>
          <w:highlight w:val="white"/>
        </w:rPr>
        <w:t xml:space="preserve">versa de materiais.</w:t>
      </w:r>
      <w:r>
        <w:rPr>
          <w:b w:val="0"/>
          <w:bCs w:val="0"/>
          <w:highlight w:val="white"/>
        </w:rPr>
      </w:r>
      <w:r/>
    </w:p>
    <w:p>
      <w:pPr>
        <w:pStyle w:val="1034"/>
        <w:pBdr/>
        <w:spacing w:after="0" w:afterAutospacing="0" w:before="0" w:beforeAutospacing="0" w:line="240" w:lineRule="auto"/>
        <w:ind w:firstLine="708"/>
        <w:jc w:val="both"/>
        <w:rPr/>
      </w:pPr>
      <w:r>
        <w:rPr>
          <w:b w:val="0"/>
          <w:bCs w:val="0"/>
          <w:highlight w:val="white"/>
        </w:rPr>
      </w:r>
      <w:r>
        <w:rPr>
          <w:b w:val="0"/>
          <w:bCs w:val="0"/>
          <w:highlight w:val="white"/>
        </w:rPr>
      </w:r>
      <w:r/>
    </w:p>
    <w:p>
      <w:pPr>
        <w:pStyle w:val="1034"/>
        <w:pBdr/>
        <w:spacing w:after="0" w:afterAutospacing="0" w:before="0" w:beforeAutospacing="0" w:line="240" w:lineRule="auto"/>
        <w:ind w:firstLine="708"/>
        <w:jc w:val="both"/>
        <w:rPr>
          <w:b w:val="0"/>
          <w:bCs w:val="0"/>
          <w:highlight w:val="white"/>
        </w:rPr>
      </w:pPr>
      <w:r>
        <w:rPr>
          <w:b/>
          <w:bCs/>
          <w:highlight w:val="white"/>
        </w:rPr>
        <w:t xml:space="preserve">Parágrafo único. </w:t>
      </w:r>
      <w:r>
        <w:rPr>
          <w:b w:val="0"/>
          <w:bCs w:val="0"/>
          <w:highlight w:val="white"/>
        </w:rPr>
        <w:t xml:space="preserve">Ato do Presidente da Câmara disciplinará a matéria de que trata este Capítulo, definindo os requisitos, fluxos internos e critérios para parcerias, podendo delegar à Diretoria-Geral a edição dos procedim</w:t>
      </w:r>
      <w:r>
        <w:rPr>
          <w:b w:val="0"/>
          <w:bCs w:val="0"/>
          <w:highlight w:val="white"/>
        </w:rPr>
        <w:t xml:space="preserve">entos operacionais necessários ao seu cumprimento.</w:t>
      </w:r>
      <w:r>
        <w:rPr>
          <w:b w:val="0"/>
          <w:bCs w:val="0"/>
          <w:highlight w:val="white"/>
        </w:rPr>
      </w:r>
      <w:r>
        <w:rPr>
          <w:b w:val="0"/>
          <w:bCs w:val="0"/>
          <w:highlight w:val="white"/>
        </w:rPr>
      </w:r>
    </w:p>
    <w:p>
      <w:pPr>
        <w:pStyle w:val="1034"/>
        <w:pBdr/>
        <w:spacing w:after="0" w:afterAutospacing="0" w:before="0" w:beforeAutospacing="0" w:line="240" w:lineRule="auto"/>
        <w:ind w:firstLine="708"/>
        <w:jc w:val="both"/>
        <w:rPr>
          <w:highlight w:val="white"/>
        </w:rPr>
      </w:pPr>
      <w:r>
        <w:rPr>
          <w:b w:val="0"/>
          <w:bCs w:val="0"/>
          <w:highlight w:val="none"/>
        </w:rPr>
      </w:r>
      <w:r>
        <w:rPr>
          <w:highlight w:val="white"/>
        </w:rPr>
      </w:r>
      <w:r>
        <w:rPr>
          <w:highlight w:val="white"/>
        </w:rPr>
      </w:r>
    </w:p>
    <w:p>
      <w:pPr>
        <w:pStyle w:val="1034"/>
        <w:pBdr/>
        <w:spacing w:after="0" w:afterAutospacing="0" w:before="0" w:beforeAutospacing="0" w:line="240" w:lineRule="auto"/>
        <w:ind w:firstLine="0"/>
        <w:jc w:val="center"/>
        <w:rPr>
          <w:b w:val="0"/>
          <w:bCs w:val="0"/>
        </w:rPr>
      </w:pPr>
      <w:r>
        <w:rPr>
          <w:b w:val="0"/>
          <w:bCs w:val="0"/>
        </w:rPr>
        <w:t xml:space="preserve">CAPÍTULO VII</w:t>
      </w:r>
      <w:r>
        <w:rPr>
          <w:b w:val="0"/>
          <w:bCs w:val="0"/>
        </w:rPr>
      </w:r>
      <w:r>
        <w:rPr>
          <w:b w:val="0"/>
          <w:bCs w:val="0"/>
        </w:rPr>
      </w:r>
    </w:p>
    <w:p>
      <w:pPr>
        <w:pStyle w:val="1034"/>
        <w:pBdr/>
        <w:spacing w:after="0" w:afterAutospacing="0" w:before="0" w:beforeAutospacing="0" w:line="240" w:lineRule="auto"/>
        <w:ind w:firstLine="0"/>
        <w:jc w:val="center"/>
        <w:rPr>
          <w:b w:val="0"/>
          <w:bCs w:val="0"/>
          <w:highlight w:val="none"/>
        </w:rPr>
      </w:pPr>
      <w:r>
        <w:rPr>
          <w:b w:val="0"/>
          <w:bCs w:val="0"/>
        </w:rPr>
        <w:t xml:space="preserve">DAS COMISSÕES PERMANENTES</w:t>
      </w:r>
      <w:r>
        <w:rPr>
          <w:b w:val="0"/>
          <w:bCs w:val="0"/>
          <w:highlight w:val="none"/>
        </w:rPr>
      </w:r>
      <w:r>
        <w:rPr>
          <w:b w:val="0"/>
          <w:bCs w:val="0"/>
          <w:highlight w:val="none"/>
        </w:rPr>
      </w:r>
    </w:p>
    <w:p>
      <w:pPr>
        <w:pStyle w:val="1034"/>
        <w:pBdr/>
        <w:spacing w:after="0" w:afterAutospacing="0" w:before="0" w:beforeAutospacing="0" w:line="240" w:lineRule="auto"/>
        <w:ind w:firstLine="0"/>
        <w:jc w:val="center"/>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right="0" w:firstLine="0" w:left="0"/>
        <w:jc w:val="center"/>
        <w:rPr>
          <w:b w:val="0"/>
          <w:bCs w:val="0"/>
        </w:rPr>
      </w:pPr>
      <w:r>
        <w:rPr>
          <w:b w:val="0"/>
          <w:bCs w:val="0"/>
        </w:rPr>
        <w:t xml:space="preserve">Seção I</w:t>
      </w:r>
      <w:r>
        <w:rPr>
          <w:b w:val="0"/>
          <w:bCs w:val="0"/>
        </w:rPr>
      </w:r>
      <w:r>
        <w:rPr>
          <w:b w:val="0"/>
          <w:bCs w:val="0"/>
        </w:rPr>
      </w:r>
    </w:p>
    <w:p>
      <w:pPr>
        <w:pStyle w:val="1034"/>
        <w:pBdr/>
        <w:spacing w:after="0" w:afterAutospacing="0" w:before="0" w:beforeAutospacing="0" w:line="240" w:lineRule="auto"/>
        <w:ind w:right="0" w:firstLine="0" w:left="0"/>
        <w:jc w:val="center"/>
        <w:rPr>
          <w:b w:val="0"/>
          <w:bCs w:val="0"/>
          <w:sz w:val="24"/>
          <w:szCs w:val="24"/>
          <w:highlight w:val="none"/>
        </w:rPr>
      </w:pPr>
      <w:r>
        <w:rPr>
          <w:b w:val="0"/>
          <w:bCs w:val="0"/>
          <w:sz w:val="24"/>
          <w:szCs w:val="24"/>
        </w:rPr>
        <w:t xml:space="preserve">Da Comissão Permanente de Apoio à Gestão Patrimonial (CAGP)</w:t>
      </w:r>
      <w:r>
        <w:rPr>
          <w:b w:val="0"/>
          <w:bCs w:val="0"/>
          <w:sz w:val="24"/>
          <w:szCs w:val="24"/>
          <w:highlight w:val="none"/>
        </w:rPr>
      </w:r>
      <w:r>
        <w:rPr>
          <w:b w:val="0"/>
          <w:bCs w:val="0"/>
          <w:sz w:val="24"/>
          <w:szCs w:val="24"/>
          <w:highlight w:val="none"/>
        </w:rPr>
      </w:r>
    </w:p>
    <w:p>
      <w:pPr>
        <w:pStyle w:val="830"/>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sz w:val="24"/>
          <w:szCs w:val="24"/>
        </w:rPr>
      </w:pPr>
      <w:r>
        <w:rPr>
          <w:rFonts w:ascii="Times New Roman" w:hAnsi="Times New Roman" w:eastAsia="Times New Roman" w:cs="Times New Roman"/>
          <w:b/>
          <w:color w:val="000000"/>
          <w:sz w:val="24"/>
          <w:szCs w:val="24"/>
        </w:rPr>
        <w:t xml:space="preserve">Art. 11. </w:t>
      </w:r>
      <w:r>
        <w:rPr>
          <w:rFonts w:ascii="Times New Roman" w:hAnsi="Times New Roman" w:eastAsia="Times New Roman" w:cs="Times New Roman"/>
          <w:color w:val="000000"/>
          <w:sz w:val="24"/>
          <w:szCs w:val="24"/>
        </w:rPr>
        <w:t xml:space="preserve">F</w:t>
      </w:r>
      <w:r>
        <w:rPr>
          <w:rFonts w:ascii="Times New Roman" w:hAnsi="Times New Roman" w:eastAsia="Times New Roman" w:cs="Times New Roman"/>
          <w:color w:val="000000"/>
          <w:sz w:val="24"/>
          <w:szCs w:val="24"/>
        </w:rPr>
        <w:t xml:space="preserve">ica instituída a Comissão Permanente de Apoio à Gestão Patrimonial – CAGP, órgão de natureza técnico-consultiva e opinativa, vinculado à Diretoria-Geral, com a finalidade de subsidiar tecnicamente os procedimentos de controle, avaliação, inventário e desti</w:t>
      </w:r>
      <w:r>
        <w:rPr>
          <w:rFonts w:ascii="Times New Roman" w:hAnsi="Times New Roman" w:eastAsia="Times New Roman" w:cs="Times New Roman"/>
          <w:color w:val="000000"/>
          <w:sz w:val="24"/>
          <w:szCs w:val="24"/>
        </w:rPr>
        <w:t xml:space="preserve">nação de bens públicos, vedado o exercício de funções operacionais, executivas ou decisórias.</w:t>
      </w:r>
      <w:r>
        <w:rPr>
          <w:sz w:val="24"/>
          <w:szCs w:val="24"/>
        </w:rPr>
      </w:r>
      <w:r>
        <w:rPr>
          <w:sz w:val="24"/>
          <w:szCs w:val="24"/>
        </w:rPr>
      </w:r>
    </w:p>
    <w:p>
      <w:pPr>
        <w:pStyle w:val="830"/>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pPr>
      <w:r>
        <w:rPr>
          <w:rFonts w:ascii="Times New Roman" w:hAnsi="Times New Roman" w:eastAsia="Times New Roman" w:cs="Times New Roman"/>
          <w:b/>
          <w:bCs/>
          <w:color w:val="000000"/>
          <w:sz w:val="24"/>
          <w:szCs w:val="24"/>
          <w:highlight w:val="none"/>
        </w:rPr>
        <w:t xml:space="preserve">Art. 12. </w:t>
      </w:r>
      <w:r>
        <w:rPr>
          <w:rFonts w:ascii="Times New Roman" w:hAnsi="Times New Roman" w:eastAsia="Times New Roman" w:cs="Times New Roman"/>
          <w:b w:val="0"/>
          <w:bCs w:val="0"/>
          <w:color w:val="000000"/>
          <w:sz w:val="24"/>
          <w:szCs w:val="24"/>
          <w:highlight w:val="none"/>
        </w:rPr>
        <w:t xml:space="preserve">A CAGP será composta por 5 (cinco) membros com direito a voto e 1 (um) membro técnico consultor sem direito a voto, todos designados por ato do Presidente da Câmara Municipal.</w:t>
      </w:r>
      <w:r>
        <w:rPr>
          <w:rFonts w:ascii="Times New Roman" w:hAnsi="Times New Roman" w:eastAsia="Times New Roman" w:cs="Times New Roman"/>
          <w:b/>
          <w:bCs/>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pP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pPr>
      <w:r>
        <w:rPr>
          <w:rFonts w:ascii="Times New Roman" w:hAnsi="Times New Roman" w:eastAsia="Times New Roman" w:cs="Times New Roman"/>
          <w:b/>
          <w:bCs/>
          <w:color w:val="000000"/>
          <w:sz w:val="24"/>
          <w:szCs w:val="24"/>
          <w:highlight w:val="none"/>
        </w:rPr>
        <w:t xml:space="preserve">§ 1º </w:t>
      </w:r>
      <w:r>
        <w:rPr>
          <w:rFonts w:ascii="Times New Roman" w:hAnsi="Times New Roman" w:eastAsia="Times New Roman" w:cs="Times New Roman"/>
          <w:b w:val="0"/>
          <w:bCs w:val="0"/>
          <w:color w:val="000000"/>
          <w:sz w:val="24"/>
          <w:szCs w:val="24"/>
          <w:highlight w:val="none"/>
        </w:rPr>
        <w:t xml:space="preserve">A função de membro técnico consultor será exercida por servidor lotado na unidade de Patrimônio, devendo a escolha recair, preferencialmente, sobre o titular da Função Gratificada de Responsável Técnico (FG-RT) ou sobre servidor detentor de Gratificaçã</w:t>
      </w:r>
      <w:r>
        <w:rPr>
          <w:rFonts w:ascii="Times New Roman" w:hAnsi="Times New Roman" w:eastAsia="Times New Roman" w:cs="Times New Roman"/>
          <w:b w:val="0"/>
          <w:bCs w:val="0"/>
          <w:color w:val="000000"/>
          <w:sz w:val="24"/>
          <w:szCs w:val="24"/>
          <w:highlight w:val="none"/>
        </w:rPr>
        <w:t xml:space="preserve">o por Encargos Técnicos de Almoxarifado e de Patrimônio (GETAP).</w:t>
      </w:r>
      <w:r>
        <w:rPr>
          <w:rFonts w:ascii="Times New Roman" w:hAnsi="Times New Roman" w:eastAsia="Times New Roman" w:cs="Times New Roman"/>
          <w:b/>
          <w:bCs/>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pP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pPr>
      <w:r>
        <w:rPr>
          <w:rFonts w:ascii="Times New Roman" w:hAnsi="Times New Roman" w:eastAsia="Times New Roman" w:cs="Times New Roman"/>
          <w:b/>
          <w:bCs/>
          <w:color w:val="000000"/>
          <w:sz w:val="24"/>
          <w:szCs w:val="24"/>
          <w:highlight w:val="none"/>
        </w:rPr>
        <w:t xml:space="preserve">§ 2º </w:t>
      </w:r>
      <w:r>
        <w:rPr>
          <w:rFonts w:ascii="Times New Roman" w:hAnsi="Times New Roman" w:eastAsia="Times New Roman" w:cs="Times New Roman"/>
          <w:b w:val="0"/>
          <w:bCs w:val="0"/>
          <w:color w:val="000000"/>
          <w:sz w:val="24"/>
          <w:szCs w:val="24"/>
          <w:highlight w:val="none"/>
        </w:rPr>
        <w:t xml:space="preserve">Os membros com direito a voto deverão observar requisitos de independência e ausência de conflito de interesses, sendo vedada a participação de servidores com atribuições de chefia, direção, coordenação ou validação técnica no âmbito da unidade de Patr</w:t>
      </w:r>
      <w:r>
        <w:rPr>
          <w:rFonts w:ascii="Times New Roman" w:hAnsi="Times New Roman" w:eastAsia="Times New Roman" w:cs="Times New Roman"/>
          <w:b w:val="0"/>
          <w:bCs w:val="0"/>
          <w:color w:val="000000"/>
          <w:sz w:val="24"/>
          <w:szCs w:val="24"/>
          <w:highlight w:val="none"/>
        </w:rPr>
        <w:t xml:space="preserve">imônio.</w:t>
      </w:r>
      <w:r>
        <w:rPr>
          <w:rFonts w:ascii="Times New Roman" w:hAnsi="Times New Roman" w:eastAsia="Times New Roman" w:cs="Times New Roman"/>
          <w:b/>
          <w:bCs/>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pP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pPr>
      <w:r>
        <w:rPr>
          <w:rFonts w:ascii="Times New Roman" w:hAnsi="Times New Roman" w:eastAsia="Times New Roman" w:cs="Times New Roman"/>
          <w:b/>
          <w:bCs/>
          <w:color w:val="000000"/>
          <w:sz w:val="24"/>
          <w:szCs w:val="24"/>
          <w:highlight w:val="none"/>
        </w:rPr>
        <w:t xml:space="preserve">§ 3º </w:t>
      </w:r>
      <w:r>
        <w:rPr>
          <w:rFonts w:ascii="Times New Roman" w:hAnsi="Times New Roman" w:eastAsia="Times New Roman" w:cs="Times New Roman"/>
          <w:b w:val="0"/>
          <w:bCs w:val="0"/>
          <w:color w:val="000000"/>
          <w:sz w:val="24"/>
          <w:szCs w:val="24"/>
          <w:highlight w:val="none"/>
        </w:rPr>
        <w:t xml:space="preserve">A maioria dos membros com direito a voto deverá ser composta por servidores não lotados na unidade de Patrimônio, a fim de assegurar a efetiva segregação de funções e a imparcialidade das análises.</w:t>
      </w:r>
      <w:r>
        <w:rPr>
          <w:rFonts w:ascii="Times New Roman" w:hAnsi="Times New Roman" w:eastAsia="Times New Roman" w:cs="Times New Roman"/>
          <w:b/>
          <w:bCs/>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pP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pPr>
      <w:r>
        <w:rPr>
          <w:rFonts w:ascii="Times New Roman" w:hAnsi="Times New Roman" w:eastAsia="Times New Roman" w:cs="Times New Roman"/>
          <w:b/>
          <w:bCs/>
          <w:color w:val="000000"/>
          <w:sz w:val="24"/>
          <w:szCs w:val="24"/>
          <w:highlight w:val="none"/>
        </w:rPr>
        <w:t xml:space="preserve">§ 4º</w:t>
      </w:r>
      <w:r>
        <w:rPr>
          <w:rFonts w:ascii="Times New Roman" w:hAnsi="Times New Roman" w:eastAsia="Times New Roman" w:cs="Times New Roman"/>
          <w:b w:val="0"/>
          <w:bCs w:val="0"/>
          <w:color w:val="000000"/>
          <w:sz w:val="24"/>
          <w:szCs w:val="24"/>
          <w:highlight w:val="none"/>
        </w:rPr>
        <w:t xml:space="preserve"> É vedada, em qualquer hipótese, a designação do titular do cargo em comissão de chefia ou direção da unidade responsável pela gestão patrimonial para compor a Comissão, seja como membro votante ou consultor.</w:t>
      </w:r>
      <w:r>
        <w:rPr>
          <w:rFonts w:ascii="Times New Roman" w:hAnsi="Times New Roman" w:eastAsia="Times New Roman" w:cs="Times New Roman"/>
          <w:b/>
          <w:bCs/>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pP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b/>
          <w:bCs/>
          <w:color w:val="000000"/>
          <w:sz w:val="24"/>
          <w:szCs w:val="24"/>
          <w:highlight w:val="none"/>
        </w:rPr>
        <w:t xml:space="preserve">§ 5º </w:t>
      </w:r>
      <w:r>
        <w:rPr>
          <w:rFonts w:ascii="Times New Roman" w:hAnsi="Times New Roman" w:eastAsia="Times New Roman" w:cs="Times New Roman"/>
          <w:b w:val="0"/>
          <w:bCs w:val="0"/>
          <w:color w:val="000000"/>
          <w:sz w:val="24"/>
          <w:szCs w:val="24"/>
          <w:highlight w:val="none"/>
        </w:rPr>
        <w:t xml:space="preserve">As manifestações opinativas da Comissão serão aprovadas pelo voto da maioria de seus membros com direito a voto.</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Style w:val="830"/>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830"/>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b/>
          <w:color w:val="000000"/>
          <w:sz w:val="24"/>
          <w:szCs w:val="24"/>
        </w:rPr>
        <w:t xml:space="preserve">Art. 13. </w:t>
      </w:r>
      <w:r>
        <w:rPr>
          <w:rFonts w:ascii="Times New Roman" w:hAnsi="Times New Roman" w:eastAsia="Times New Roman" w:cs="Times New Roman"/>
          <w:color w:val="000000"/>
          <w:sz w:val="24"/>
          <w:szCs w:val="24"/>
        </w:rPr>
        <w:t xml:space="preserve">É expressamente vedado à CAGP:</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spacing w:after="0" w:afterAutospacing="0" w:before="0" w:beforeAutospacing="0"/>
        <w:ind/>
        <w:rPr>
          <w:sz w:val="24"/>
          <w:szCs w:val="24"/>
        </w:rPr>
      </w:pPr>
      <w:r>
        <w:rPr>
          <w:sz w:val="24"/>
          <w:szCs w:val="24"/>
        </w:rPr>
      </w:r>
      <w:r>
        <w:rPr>
          <w:sz w:val="24"/>
          <w:szCs w:val="24"/>
        </w:rPr>
      </w:r>
      <w:r>
        <w:rPr>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t xml:space="preserve">I – emitir validação técnica conclusiva, laudos, termos, registros, atestados ou qualquer documento de efeito operacional privativo da unidade de patrimônio;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II – executar atividades operacionais de conferência, registro, etiquetagem, movimentação, acondici</w:t>
      </w:r>
      <w:r>
        <w:rPr>
          <w:rFonts w:ascii="Times New Roman" w:hAnsi="Times New Roman" w:eastAsia="Times New Roman" w:cs="Times New Roman"/>
          <w:color w:val="000000"/>
          <w:sz w:val="24"/>
          <w:szCs w:val="24"/>
        </w:rPr>
        <w:t xml:space="preserve">onamento, guarda ou destinação de bens;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III – instruir processos administrativos de forma conclusiva ou praticar atos decisórios;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IV – exercer funções de gestão, chefia, direção, coordenação ou supervisão de rotinas patrimoniais;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V – substituir ou interferi</w:t>
      </w:r>
      <w:r>
        <w:rPr>
          <w:rFonts w:ascii="Times New Roman" w:hAnsi="Times New Roman" w:eastAsia="Times New Roman" w:cs="Times New Roman"/>
          <w:color w:val="000000"/>
          <w:sz w:val="24"/>
          <w:szCs w:val="24"/>
        </w:rPr>
        <w:t xml:space="preserve">r nas atribuições privativas da unidade responsável pela gestão patrimonial.</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830"/>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rFonts w:ascii="Times New Roman" w:hAnsi="Times New Roman" w:cs="Times New Roman"/>
          <w:sz w:val="24"/>
          <w:szCs w:val="24"/>
        </w:rPr>
      </w:pPr>
      <w:r>
        <w:rPr>
          <w:rFonts w:ascii="Times New Roman" w:hAnsi="Times New Roman" w:eastAsia="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pPr>
      <w:r>
        <w:rPr>
          <w:rFonts w:ascii="Times New Roman" w:hAnsi="Times New Roman" w:eastAsia="Times New Roman" w:cs="Times New Roman"/>
          <w:b/>
          <w:bCs/>
          <w:sz w:val="24"/>
          <w:szCs w:val="24"/>
        </w:rPr>
        <w:t xml:space="preserve">Art. 14.</w:t>
      </w:r>
      <w:r>
        <w:rPr>
          <w:rFonts w:ascii="Times New Roman" w:hAnsi="Times New Roman" w:eastAsia="Times New Roman" w:cs="Times New Roman"/>
          <w:sz w:val="24"/>
          <w:szCs w:val="24"/>
        </w:rPr>
        <w:t xml:space="preserve"> Compete à Comissão Permanente de Apoio à Gestão Patrimonial – CAGP, exclusivamente em caráter opinativo e de apoio técnico, auxiliar e subsidiar as atividades patrimoniais da Câmara Municipal, cabendo-lhe, em especial:</w:t>
      </w:r>
      <w:r>
        <w:rPr>
          <w:rFonts w:ascii="Times New Roman" w:hAnsi="Times New Roman" w:eastAsia="Times New Roman" w:cs="Times New Roman"/>
          <w:sz w:val="24"/>
          <w:szCs w:val="24"/>
        </w:rPr>
      </w:r>
      <w:r/>
    </w:p>
    <w:p>
      <w:pPr>
        <w:pBdr>
          <w:top w:val="none" w:color="000000" w:sz="4" w:space="0"/>
          <w:left w:val="none" w:color="000000" w:sz="4" w:space="0"/>
          <w:bottom w:val="none" w:color="000000" w:sz="4" w:space="0"/>
          <w:right w:val="none" w:color="000000" w:sz="4" w:space="0"/>
        </w:pBdr>
        <w:spacing w:after="0"/>
        <w:ind w:right="0" w:firstLine="709" w:left="0"/>
        <w:jc w:val="both"/>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 – acompanhar tecnicamente as vistorias realizadas pela unidade de patrimônio;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II – emitir parecer opinativo sobre a classificação de bens quanto ao estado de conservação, obsolescência ou antieconomicidade, para subsidiar a análise técnica da unidade comp</w:t>
      </w:r>
      <w:r>
        <w:rPr>
          <w:rFonts w:ascii="Times New Roman" w:hAnsi="Times New Roman" w:eastAsia="Times New Roman" w:cs="Times New Roman"/>
          <w:sz w:val="24"/>
          <w:szCs w:val="24"/>
        </w:rPr>
        <w:t xml:space="preserve">etente;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III – acompanhar vistorias realizadas por entidades interessadas em processos de doação;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IV – acompanhar a execução do Inventário Anual e de inventários extraordinários;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 – apontar divergências ou inconsistências observadas para subsidiar a concili</w:t>
      </w:r>
      <w:r>
        <w:rPr>
          <w:rFonts w:ascii="Times New Roman" w:hAnsi="Times New Roman" w:eastAsia="Times New Roman" w:cs="Times New Roman"/>
          <w:sz w:val="24"/>
          <w:szCs w:val="24"/>
        </w:rPr>
        <w:t xml:space="preserve">ação físico-contábil;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VI – elaborar pareceres opinativos para subsidiar os processos de doação e desfazimento de bens;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VII – sugerir minutas de documentos, editais e termos;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VIII – analisar a documentação apresentada por entidades interessadas em processos </w:t>
      </w:r>
      <w:r>
        <w:rPr>
          <w:rFonts w:ascii="Times New Roman" w:hAnsi="Times New Roman" w:eastAsia="Times New Roman" w:cs="Times New Roman"/>
          <w:sz w:val="24"/>
          <w:szCs w:val="24"/>
        </w:rPr>
        <w:t xml:space="preserve">de doação ou cooperação, para fins de emissão de parecer opinativo;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IX – acompanhar a retirada de bens doados, vedada a lavratura de termos, registros oficiais ou execução de atos privativos da unidade patrimonial;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 – acompanhar, sem executar, as análises </w:t>
      </w:r>
      <w:r>
        <w:rPr>
          <w:rFonts w:ascii="Times New Roman" w:hAnsi="Times New Roman" w:eastAsia="Times New Roman" w:cs="Times New Roman"/>
          <w:sz w:val="24"/>
          <w:szCs w:val="24"/>
        </w:rPr>
        <w:t xml:space="preserve">técnicas da unidade patrimonial quanto ao descarte, destinação final e logística reversa;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XI – acompanhar a execução de parcerias com cooperativas ou entidades de reciclagem;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XII – elaborar manifestações opinativas sobre a destinação ambientalmente adequada</w:t>
      </w:r>
      <w:r>
        <w:rPr>
          <w:rFonts w:ascii="Times New Roman" w:hAnsi="Times New Roman" w:eastAsia="Times New Roman" w:cs="Times New Roman"/>
          <w:sz w:val="24"/>
          <w:szCs w:val="24"/>
        </w:rPr>
        <w:t xml:space="preserve"> de bens e resíduos;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XIII – acompanhar a execução de Termos de Cooperação, mantendo arquivo dos relatórios e documentos recebidos para seus registros;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XIV – manter registros organizados das atividades da Comissão;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XV – encaminhar relatório semestral de ativ</w:t>
      </w:r>
      <w:r>
        <w:rPr>
          <w:rFonts w:ascii="Times New Roman" w:hAnsi="Times New Roman" w:eastAsia="Times New Roman" w:cs="Times New Roman"/>
          <w:sz w:val="24"/>
          <w:szCs w:val="24"/>
        </w:rPr>
        <w:t xml:space="preserve">idades à </w:t>
      </w:r>
      <w:r>
        <w:rPr>
          <w:rFonts w:ascii="Times New Roman" w:hAnsi="Times New Roman" w:eastAsia="Times New Roman" w:cs="Times New Roman"/>
          <w:sz w:val="24"/>
          <w:szCs w:val="24"/>
          <w:highlight w:val="none"/>
        </w:rPr>
        <w:t xml:space="preserve">Presidência da Câmara Municipal</w:t>
      </w:r>
      <w:r>
        <w:rPr>
          <w:rFonts w:ascii="Times New Roman" w:hAnsi="Times New Roman" w:eastAsia="Times New Roman" w:cs="Times New Roman"/>
          <w:sz w:val="24"/>
          <w:szCs w:val="24"/>
          <w:highlight w:val="yellow"/>
        </w:rPr>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ind w:right="0" w:firstLine="709" w:left="0"/>
        <w:jc w:val="both"/>
        <w:rPr>
          <w:rFonts w:ascii="Times New Roman" w:hAnsi="Times New Roman" w:cs="Times New Roman"/>
          <w:sz w:val="24"/>
          <w:szCs w:val="24"/>
        </w:rPr>
      </w:pPr>
      <w:r>
        <w:rPr>
          <w:rFonts w:ascii="Times New Roman" w:hAnsi="Times New Roman" w:eastAsia="Times New Roman" w:cs="Times New Roman"/>
          <w:sz w:val="24"/>
          <w:szCs w:val="24"/>
        </w:rPr>
        <w:t xml:space="preserve">XVI – comunicar à unidade de patrimônio eventuais irregularidades, inconsistências ou fragilidades de controle identificadas no âmbito de suas atribuições.</w:t>
      </w:r>
      <w:r>
        <w:rPr>
          <w:rFonts w:ascii="Times New Roman" w:hAnsi="Times New Roman" w:cs="Times New Roman"/>
          <w:sz w:val="24"/>
          <w:szCs w:val="24"/>
        </w:rPr>
      </w:r>
      <w:r>
        <w:rPr>
          <w:rFonts w:ascii="Times New Roman" w:hAnsi="Times New Roman" w:cs="Times New Roman"/>
          <w:sz w:val="24"/>
          <w:szCs w:val="24"/>
        </w:rPr>
      </w:r>
    </w:p>
    <w:p>
      <w:pPr>
        <w:pStyle w:val="830"/>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830"/>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rFonts w:ascii="Times New Roman" w:hAnsi="Times New Roman" w:eastAsia="Times New Roman" w:cs="Times New Roman"/>
          <w:b w:val="0"/>
          <w:bCs w:val="0"/>
          <w:color w:val="000000"/>
          <w:sz w:val="24"/>
          <w:szCs w:val="24"/>
          <w:highlight w:val="none"/>
        </w:rPr>
      </w:pPr>
      <w:r>
        <w:rPr>
          <w:rFonts w:ascii="Times New Roman" w:hAnsi="Times New Roman" w:eastAsia="Times New Roman" w:cs="Times New Roman"/>
          <w:b/>
          <w:color w:val="000000"/>
          <w:sz w:val="24"/>
          <w:szCs w:val="24"/>
        </w:rPr>
        <w:t xml:space="preserve">Art. 15. </w:t>
      </w:r>
      <w:r>
        <w:rPr>
          <w:rFonts w:ascii="Times New Roman" w:hAnsi="Times New Roman" w:eastAsia="Times New Roman" w:cs="Times New Roman"/>
          <w:color w:val="000000"/>
          <w:sz w:val="24"/>
          <w:szCs w:val="24"/>
        </w:rPr>
        <w:t xml:space="preserve">As manifestações, a</w:t>
      </w:r>
      <w:r>
        <w:rPr>
          <w:rFonts w:ascii="Times New Roman" w:hAnsi="Times New Roman" w:eastAsia="Times New Roman" w:cs="Times New Roman"/>
          <w:b w:val="0"/>
          <w:bCs w:val="0"/>
          <w:color w:val="000000"/>
          <w:sz w:val="24"/>
          <w:szCs w:val="24"/>
        </w:rPr>
        <w:t xml:space="preserve">nálises e pareceres da CAGP têm </w:t>
      </w:r>
      <w:r>
        <w:rPr>
          <w:rFonts w:ascii="Times New Roman" w:hAnsi="Times New Roman" w:eastAsia="Times New Roman" w:cs="Times New Roman"/>
          <w:b w:val="0"/>
          <w:bCs w:val="0"/>
          <w:color w:val="000000"/>
          <w:sz w:val="24"/>
          <w:szCs w:val="24"/>
        </w:rPr>
        <w:t xml:space="preserve">natureza opinativa e não vinculante</w:t>
      </w:r>
      <w:r>
        <w:rPr>
          <w:rFonts w:ascii="Times New Roman" w:hAnsi="Times New Roman" w:eastAsia="Times New Roman" w:cs="Times New Roman"/>
          <w:b w:val="0"/>
          <w:bCs w:val="0"/>
          <w:color w:val="000000"/>
          <w:sz w:val="24"/>
          <w:szCs w:val="24"/>
        </w:rPr>
        <w:t xml:space="preserve">, destinando-se exclusivamente a subsidiar a unidade de patrimônio e a autoridade competente.</w:t>
      </w:r>
      <w:r>
        <w:rPr>
          <w:rFonts w:ascii="Times New Roman" w:hAnsi="Times New Roman" w:eastAsia="Times New Roman" w:cs="Times New Roman"/>
          <w:b w:val="0"/>
          <w:bCs w:val="0"/>
          <w:color w:val="000000"/>
          <w:sz w:val="24"/>
          <w:szCs w:val="24"/>
          <w:highlight w:val="none"/>
        </w:rPr>
      </w:r>
      <w:r>
        <w:rPr>
          <w:rFonts w:ascii="Times New Roman" w:hAnsi="Times New Roman" w:eastAsia="Times New Roman" w:cs="Times New Roman"/>
          <w:b w:val="0"/>
          <w:bCs w:val="0"/>
          <w:color w:val="000000"/>
          <w:sz w:val="24"/>
          <w:szCs w:val="24"/>
          <w:highlight w:val="none"/>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b/>
          <w:color w:val="000000"/>
          <w:sz w:val="24"/>
          <w:szCs w:val="24"/>
        </w:rPr>
        <w:t xml:space="preserve">Parágrafo único.</w:t>
      </w:r>
      <w:r>
        <w:rPr>
          <w:rFonts w:ascii="Times New Roman" w:hAnsi="Times New Roman" w:eastAsia="Times New Roman" w:cs="Times New Roman"/>
          <w:color w:val="000000"/>
          <w:sz w:val="24"/>
          <w:szCs w:val="24"/>
        </w:rPr>
        <w:t xml:space="preserve"> A publicidade das manifestações observará a Lei Geral de Proteção de Dados (Lei Nacional nº 13.709/201</w:t>
      </w:r>
      <w:r>
        <w:rPr>
          <w:rFonts w:ascii="Times New Roman" w:hAnsi="Times New Roman" w:eastAsia="Times New Roman" w:cs="Times New Roman"/>
          <w:color w:val="000000"/>
          <w:sz w:val="24"/>
          <w:szCs w:val="24"/>
          <w:highlight w:val="white"/>
        </w:rPr>
        <w:t xml:space="preserve">8) e a </w:t>
      </w:r>
      <w:r>
        <w:rPr>
          <w:rFonts w:ascii="Times New Roman" w:hAnsi="Times New Roman" w:eastAsia="Times New Roman" w:cs="Times New Roman"/>
          <w:color w:val="000000"/>
          <w:sz w:val="24"/>
          <w:szCs w:val="24"/>
          <w:highlight w:val="white"/>
        </w:rPr>
        <w:t xml:space="preserve">Lei Municipal nº 5.436/2025</w:t>
      </w:r>
      <w:r>
        <w:rPr>
          <w:rFonts w:ascii="Times New Roman" w:hAnsi="Times New Roman" w:eastAsia="Times New Roman" w:cs="Times New Roman"/>
          <w:color w:val="000000"/>
          <w:sz w:val="24"/>
          <w:szCs w:val="24"/>
          <w:highlight w:val="white"/>
        </w:rPr>
        <w:t xml:space="preserve">, </w:t>
      </w:r>
      <w:r>
        <w:rPr>
          <w:rFonts w:ascii="Times New Roman" w:hAnsi="Times New Roman" w:eastAsia="Times New Roman" w:cs="Times New Roman"/>
          <w:color w:val="000000"/>
          <w:sz w:val="24"/>
          <w:szCs w:val="24"/>
        </w:rPr>
        <w:t xml:space="preserve">devendo a divulgação ocorrer somente após análise da unidade responsável ou do encarregado de proteção de dados.</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Style w:val="830"/>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rFonts w:ascii="Times New Roman" w:hAnsi="Times New Roman" w:eastAsia="Times New Roman" w:cs="Times New Roman"/>
          <w:sz w:val="24"/>
          <w:szCs w:val="24"/>
        </w:rPr>
      </w:pPr>
      <w:r>
        <w:rPr>
          <w:rFonts w:ascii="Times New Roman" w:hAnsi="Times New Roman" w:eastAsia="Times New Roman" w:cs="Times New Roman"/>
          <w:b w:val="0"/>
          <w:bCs w:val="0"/>
          <w:color w:val="000000"/>
          <w:sz w:val="24"/>
          <w:szCs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830"/>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8" w:left="0"/>
        <w:jc w:val="both"/>
        <w:rPr>
          <w:rFonts w:ascii="Times New Roman" w:hAnsi="Times New Roman" w:eastAsia="Times New Roman" w:cs="Times New Roman"/>
          <w:b w:val="0"/>
          <w:bCs w:val="0"/>
          <w:color w:val="000000"/>
          <w:sz w:val="24"/>
          <w:szCs w:val="24"/>
          <w:highlight w:val="none"/>
        </w:rPr>
      </w:pPr>
      <w:r>
        <w:rPr>
          <w:rFonts w:ascii="Times New Roman" w:hAnsi="Times New Roman" w:eastAsia="Times New Roman" w:cs="Times New Roman"/>
          <w:b/>
          <w:color w:val="000000"/>
          <w:sz w:val="24"/>
          <w:szCs w:val="24"/>
        </w:rPr>
        <w:t xml:space="preserve">Art. 16. </w:t>
      </w:r>
      <w:r>
        <w:rPr>
          <w:rFonts w:ascii="Times New Roman" w:hAnsi="Times New Roman" w:eastAsia="Times New Roman" w:cs="Times New Roman"/>
          <w:color w:val="000000"/>
          <w:sz w:val="24"/>
          <w:szCs w:val="24"/>
        </w:rPr>
        <w:t xml:space="preserve">No que se refere à logística reversa, a CAGP atuará exclusivamente no acompanhamento, registro e e</w:t>
      </w:r>
      <w:r>
        <w:rPr>
          <w:rFonts w:ascii="Times New Roman" w:hAnsi="Times New Roman" w:eastAsia="Times New Roman" w:cs="Times New Roman"/>
          <w:b w:val="0"/>
          <w:bCs w:val="0"/>
          <w:color w:val="000000"/>
          <w:sz w:val="24"/>
          <w:szCs w:val="24"/>
        </w:rPr>
        <w:t xml:space="preserve">missão de manifestações opinativas, </w:t>
      </w:r>
      <w:r>
        <w:rPr>
          <w:rFonts w:ascii="Times New Roman" w:hAnsi="Times New Roman" w:eastAsia="Times New Roman" w:cs="Times New Roman"/>
          <w:b w:val="0"/>
          <w:bCs w:val="0"/>
          <w:color w:val="000000"/>
          <w:sz w:val="24"/>
          <w:szCs w:val="24"/>
        </w:rPr>
        <w:t xml:space="preserve">sendo-lhe vedada qualquer ação de execução, recolhimento, transporte, descarte, tratamento ou retorno de produtos</w:t>
      </w:r>
      <w:r>
        <w:rPr>
          <w:rFonts w:ascii="Times New Roman" w:hAnsi="Times New Roman" w:eastAsia="Times New Roman" w:cs="Times New Roman"/>
          <w:b w:val="0"/>
          <w:bCs w:val="0"/>
          <w:color w:val="000000"/>
          <w:sz w:val="24"/>
          <w:szCs w:val="24"/>
        </w:rPr>
        <w:t xml:space="preserve">, cuja responsabilidade é dos fabricantes, importadores, distribuidores e comerciantes, nos termos da legislação ambiental aplicável.</w:t>
      </w:r>
      <w:r>
        <w:rPr>
          <w:rFonts w:ascii="Times New Roman" w:hAnsi="Times New Roman" w:eastAsia="Times New Roman" w:cs="Times New Roman"/>
          <w:b w:val="0"/>
          <w:bCs w:val="0"/>
          <w:color w:val="000000"/>
          <w:sz w:val="24"/>
          <w:szCs w:val="24"/>
          <w:highlight w:val="none"/>
        </w:rPr>
      </w:r>
      <w:r>
        <w:rPr>
          <w:rFonts w:ascii="Times New Roman" w:hAnsi="Times New Roman" w:eastAsia="Times New Roman" w:cs="Times New Roman"/>
          <w:b w:val="0"/>
          <w:bCs w:val="0"/>
          <w:color w:val="000000"/>
          <w:sz w:val="24"/>
          <w:szCs w:val="24"/>
          <w:highlight w:val="none"/>
        </w:rPr>
      </w:r>
    </w:p>
    <w:p>
      <w:pPr>
        <w:pBdr/>
        <w:spacing/>
        <w:ind/>
        <w:rPr/>
      </w:pPr>
      <w:r>
        <w:rPr>
          <w:b w:val="0"/>
          <w:bCs w:val="0"/>
        </w:rPr>
      </w:r>
      <w:r>
        <w:rPr>
          <w:rFonts w:ascii="Times New Roman" w:hAnsi="Times New Roman" w:eastAsia="Times New Roman" w:cs="Times New Roman"/>
          <w:sz w:val="28"/>
        </w:rPr>
      </w:r>
      <w:r/>
    </w:p>
    <w:p>
      <w:pPr>
        <w:pStyle w:val="1034"/>
        <w:pBdr/>
        <w:spacing w:after="0" w:afterAutospacing="0" w:before="0" w:beforeAutospacing="0" w:line="238" w:lineRule="auto"/>
        <w:ind w:firstLine="0"/>
        <w:jc w:val="center"/>
        <w:rPr>
          <w:b w:val="0"/>
          <w:bCs w:val="0"/>
          <w:highlight w:val="none"/>
        </w:rPr>
      </w:pPr>
      <w:r>
        <w:rPr>
          <w:b w:val="0"/>
          <w:bCs w:val="0"/>
        </w:rPr>
        <w:t xml:space="preserve">Seção II</w:t>
      </w:r>
      <w:r>
        <w:rPr>
          <w:b w:val="0"/>
          <w:bCs w:val="0"/>
          <w:highlight w:val="none"/>
        </w:rPr>
      </w:r>
      <w:r>
        <w:rPr>
          <w:b w:val="0"/>
          <w:bCs w:val="0"/>
          <w:highlight w:val="none"/>
        </w:rPr>
      </w:r>
    </w:p>
    <w:p>
      <w:pPr>
        <w:pStyle w:val="1034"/>
        <w:pBdr/>
        <w:spacing w:after="0" w:afterAutospacing="0" w:before="0" w:beforeAutospacing="0" w:line="238" w:lineRule="auto"/>
        <w:ind w:firstLine="0"/>
        <w:jc w:val="center"/>
        <w:rPr>
          <w:b w:val="0"/>
          <w:bCs w:val="0"/>
          <w:highlight w:val="none"/>
        </w:rPr>
      </w:pPr>
      <w:r>
        <w:rPr>
          <w:b w:val="0"/>
          <w:bCs w:val="0"/>
        </w:rPr>
        <w:t xml:space="preserve">Da Comissão Permanente de Almoxarifado</w:t>
      </w:r>
      <w:r>
        <w:rPr>
          <w:b w:val="0"/>
          <w:bCs w:val="0"/>
          <w:highlight w:val="none"/>
        </w:rPr>
      </w:r>
      <w:r>
        <w:rPr>
          <w:b w:val="0"/>
          <w:bCs w:val="0"/>
          <w:highlight w:val="none"/>
        </w:rPr>
      </w:r>
    </w:p>
    <w:p>
      <w:pPr>
        <w:pStyle w:val="1034"/>
        <w:pBdr/>
        <w:spacing w:after="0" w:afterAutospacing="0" w:before="0" w:beforeAutospacing="0" w:line="238" w:lineRule="auto"/>
        <w:ind w:firstLine="0"/>
        <w:jc w:val="center"/>
        <w:rPr>
          <w:b w:val="0"/>
          <w:bCs w:val="0"/>
        </w:rPr>
      </w:pPr>
      <w:r>
        <w:rPr>
          <w:b w:val="0"/>
          <w:bCs w:val="0"/>
          <w:highlight w:val="none"/>
        </w:rPr>
      </w:r>
      <w:r>
        <w:rPr>
          <w:b w:val="0"/>
          <w:bCs w:val="0"/>
        </w:rPr>
      </w:r>
      <w:r>
        <w:rPr>
          <w:b w:val="0"/>
          <w:bCs w:val="0"/>
        </w:rPr>
      </w:r>
    </w:p>
    <w:p>
      <w:pPr>
        <w:pStyle w:val="829"/>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sz w:val="24"/>
          <w:szCs w:val="24"/>
        </w:rPr>
      </w:pPr>
      <w:r>
        <w:rPr>
          <w:rFonts w:ascii="Times New Roman" w:hAnsi="Times New Roman" w:eastAsia="Times New Roman" w:cs="Times New Roman"/>
          <w:b/>
          <w:color w:val="000000"/>
          <w:sz w:val="24"/>
          <w:szCs w:val="24"/>
        </w:rPr>
        <w:t xml:space="preserve">Art. 17. </w:t>
      </w:r>
      <w:r>
        <w:rPr>
          <w:rFonts w:ascii="Times New Roman" w:hAnsi="Times New Roman" w:eastAsia="Times New Roman" w:cs="Times New Roman"/>
          <w:color w:val="000000"/>
          <w:sz w:val="24"/>
          <w:szCs w:val="24"/>
        </w:rPr>
        <w:t xml:space="preserve">F</w:t>
      </w:r>
      <w:r>
        <w:rPr>
          <w:rFonts w:ascii="Times New Roman" w:hAnsi="Times New Roman" w:eastAsia="Times New Roman" w:cs="Times New Roman"/>
          <w:color w:val="000000"/>
          <w:sz w:val="24"/>
          <w:szCs w:val="24"/>
        </w:rPr>
        <w:t xml:space="preserve">ica instituída a Comissão Permanente de Apoio à Gestão de Almoxarifado – CPAGA, órgão de natureza técnico-consultiva e opinativa, vinculado à Diretoria-Geral, com a finalidade de subsidiar tecnicamente os procedimentos de controle, acompanhamento, padroniz</w:t>
      </w:r>
      <w:r>
        <w:rPr>
          <w:rFonts w:ascii="Times New Roman" w:hAnsi="Times New Roman" w:eastAsia="Times New Roman" w:cs="Times New Roman"/>
          <w:color w:val="000000"/>
          <w:sz w:val="24"/>
          <w:szCs w:val="24"/>
        </w:rPr>
        <w:t xml:space="preserve">ação e aperfeiçoamento das rotinas de estoque, vedado o exercício de funções operacionais, executivas ou decisórias.</w:t>
      </w:r>
      <w:r>
        <w:rPr>
          <w:sz w:val="24"/>
          <w:szCs w:val="24"/>
        </w:rPr>
      </w:r>
      <w:r>
        <w:rPr>
          <w:sz w:val="24"/>
          <w:szCs w:val="24"/>
        </w:rPr>
      </w:r>
    </w:p>
    <w:p>
      <w:pPr>
        <w:pBdr/>
        <w:spacing w:after="0" w:afterAutospacing="0" w:before="0" w:beforeAutospacing="0"/>
        <w:ind/>
        <w:rPr/>
      </w:pPr>
      <w:r>
        <w:rPr>
          <w:sz w:val="24"/>
          <w:szCs w:val="24"/>
        </w:rPr>
      </w:r>
      <w:r>
        <w:rPr>
          <w:rFonts w:ascii="Times New Roman" w:hAnsi="Times New Roman" w:eastAsia="Times New Roman" w:cs="Times New Roman"/>
          <w:sz w:val="24"/>
          <w:szCs w:val="24"/>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pPr>
      <w:r>
        <w:rPr>
          <w:rFonts w:ascii="Times New Roman" w:hAnsi="Times New Roman" w:eastAsia="Times New Roman" w:cs="Times New Roman"/>
          <w:b/>
          <w:bCs/>
          <w:color w:val="000000"/>
          <w:sz w:val="24"/>
          <w:szCs w:val="24"/>
          <w:highlight w:val="none"/>
        </w:rPr>
        <w:t xml:space="preserve">Art. 18. </w:t>
      </w:r>
      <w:r>
        <w:rPr>
          <w:rFonts w:ascii="Times New Roman" w:hAnsi="Times New Roman" w:eastAsia="Times New Roman" w:cs="Times New Roman"/>
          <w:color w:val="000000"/>
          <w:sz w:val="24"/>
          <w:szCs w:val="24"/>
          <w:highlight w:val="none"/>
        </w:rPr>
        <w:t xml:space="preserve">A CPAGA será composta por 5 (cinco) membros com direito a voto e 1 (um) membro técnico consultor sem direito a voto, todos designados por ato do Presidente da Câmara Municipal.</w:t>
      </w:r>
      <w:r>
        <w:rPr>
          <w:rFonts w:ascii="Times New Roman" w:hAnsi="Times New Roman" w:eastAsia="Times New Roman" w:cs="Times New Roman"/>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pPr>
      <w:r>
        <w:rPr>
          <w:rFonts w:ascii="Times New Roman" w:hAnsi="Times New Roman" w:eastAsia="Times New Roman" w:cs="Times New Roman"/>
          <w:b/>
          <w:bCs/>
          <w:color w:val="000000"/>
          <w:sz w:val="24"/>
          <w:szCs w:val="24"/>
          <w:highlight w:val="none"/>
        </w:rPr>
        <w:t xml:space="preserve">§ 1º</w:t>
      </w:r>
      <w:r>
        <w:rPr>
          <w:rFonts w:ascii="Times New Roman" w:hAnsi="Times New Roman" w:eastAsia="Times New Roman" w:cs="Times New Roman"/>
          <w:color w:val="000000"/>
          <w:sz w:val="24"/>
          <w:szCs w:val="24"/>
          <w:highlight w:val="none"/>
        </w:rPr>
        <w:t xml:space="preserve"> A função de membro técnico consultor será exercida por servidor lotado na unidade de Almoxarifado, devendo a escolha recair, preferencialmente, sobre o titular da Função Gratificada de Responsável Técnico (FG-RT) ou sobre servidor detentor de Gratifica</w:t>
      </w:r>
      <w:r>
        <w:rPr>
          <w:rFonts w:ascii="Times New Roman" w:hAnsi="Times New Roman" w:eastAsia="Times New Roman" w:cs="Times New Roman"/>
          <w:color w:val="000000"/>
          <w:sz w:val="24"/>
          <w:szCs w:val="24"/>
          <w:highlight w:val="none"/>
        </w:rPr>
        <w:t xml:space="preserve">ção por Encargos Técnicos de Almoxarifado e de Patrimônio (GETAP).</w:t>
      </w:r>
      <w:r>
        <w:rPr>
          <w:rFonts w:ascii="Times New Roman" w:hAnsi="Times New Roman" w:eastAsia="Times New Roman" w:cs="Times New Roman"/>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pPr>
      <w:r>
        <w:rPr>
          <w:rFonts w:ascii="Times New Roman" w:hAnsi="Times New Roman" w:eastAsia="Times New Roman" w:cs="Times New Roman"/>
          <w:b/>
          <w:bCs/>
          <w:color w:val="000000"/>
          <w:sz w:val="24"/>
          <w:szCs w:val="24"/>
          <w:highlight w:val="none"/>
        </w:rPr>
        <w:t xml:space="preserve">§ 2º </w:t>
      </w:r>
      <w:r>
        <w:rPr>
          <w:rFonts w:ascii="Times New Roman" w:hAnsi="Times New Roman" w:eastAsia="Times New Roman" w:cs="Times New Roman"/>
          <w:color w:val="000000"/>
          <w:sz w:val="24"/>
          <w:szCs w:val="24"/>
          <w:highlight w:val="none"/>
        </w:rPr>
        <w:t xml:space="preserve">Os membros com direito a voto deverão observar requisitos de independência e ausência de conflito de interesses, sendo vedada a participação de servidores com atribuições de chefia, direção, coordenação ou validação técnica no âmbito da unidade de Almo</w:t>
      </w:r>
      <w:r>
        <w:rPr>
          <w:rFonts w:ascii="Times New Roman" w:hAnsi="Times New Roman" w:eastAsia="Times New Roman" w:cs="Times New Roman"/>
          <w:color w:val="000000"/>
          <w:sz w:val="24"/>
          <w:szCs w:val="24"/>
          <w:highlight w:val="none"/>
        </w:rPr>
        <w:t xml:space="preserve">xarifado.</w:t>
      </w:r>
      <w:r>
        <w:rPr>
          <w:rFonts w:ascii="Times New Roman" w:hAnsi="Times New Roman" w:eastAsia="Times New Roman" w:cs="Times New Roman"/>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pPr>
      <w:r>
        <w:rPr>
          <w:rFonts w:ascii="Times New Roman" w:hAnsi="Times New Roman" w:eastAsia="Times New Roman" w:cs="Times New Roman"/>
          <w:b/>
          <w:bCs/>
          <w:color w:val="000000"/>
          <w:sz w:val="24"/>
          <w:szCs w:val="24"/>
          <w:highlight w:val="none"/>
        </w:rPr>
        <w:t xml:space="preserve">§ 3º </w:t>
      </w:r>
      <w:r>
        <w:rPr>
          <w:rFonts w:ascii="Times New Roman" w:hAnsi="Times New Roman" w:eastAsia="Times New Roman" w:cs="Times New Roman"/>
          <w:color w:val="000000"/>
          <w:sz w:val="24"/>
          <w:szCs w:val="24"/>
          <w:highlight w:val="none"/>
        </w:rPr>
        <w:t xml:space="preserve">A maioria dos membros com direito a voto deverá ser composta por servidores não lotados na unidade de Almoxarifado, a fim de assegurar a efetiva segregação de funções e a imparcialidade das análises.</w:t>
      </w:r>
      <w:r>
        <w:rPr>
          <w:rFonts w:ascii="Times New Roman" w:hAnsi="Times New Roman" w:eastAsia="Times New Roman" w:cs="Times New Roman"/>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pPr>
      <w:r>
        <w:rPr>
          <w:rFonts w:ascii="Times New Roman" w:hAnsi="Times New Roman" w:eastAsia="Times New Roman" w:cs="Times New Roman"/>
          <w:b/>
          <w:bCs/>
          <w:color w:val="000000"/>
          <w:sz w:val="24"/>
          <w:szCs w:val="24"/>
          <w:highlight w:val="none"/>
        </w:rPr>
        <w:t xml:space="preserve">§ 4º </w:t>
      </w:r>
      <w:r>
        <w:rPr>
          <w:rFonts w:ascii="Times New Roman" w:hAnsi="Times New Roman" w:eastAsia="Times New Roman" w:cs="Times New Roman"/>
          <w:color w:val="000000"/>
          <w:sz w:val="24"/>
          <w:szCs w:val="24"/>
          <w:highlight w:val="none"/>
        </w:rPr>
        <w:t xml:space="preserve">É vedada, em qualquer hipótese, a designação do titular do cargo em comissão de chefia ou direção da unidade responsável pela gestão do almoxarifado para compor a Comissão, seja como membro votante ou consultor.</w:t>
      </w:r>
      <w:r>
        <w:rPr>
          <w:rFonts w:ascii="Times New Roman" w:hAnsi="Times New Roman" w:eastAsia="Times New Roman" w:cs="Times New Roman"/>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b/>
          <w:bCs/>
          <w:color w:val="000000"/>
          <w:sz w:val="24"/>
          <w:szCs w:val="24"/>
          <w:highlight w:val="none"/>
        </w:rPr>
        <w:t xml:space="preserve">§ 5º</w:t>
      </w:r>
      <w:r>
        <w:rPr>
          <w:rFonts w:ascii="Times New Roman" w:hAnsi="Times New Roman" w:eastAsia="Times New Roman" w:cs="Times New Roman"/>
          <w:color w:val="000000"/>
          <w:sz w:val="24"/>
          <w:szCs w:val="24"/>
          <w:highlight w:val="none"/>
        </w:rPr>
        <w:t xml:space="preserve"> As manifestações opinativas da Comissão serão aprovadas pelo voto da maioria de seus membros com direito a voto.</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829"/>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sz w:val="24"/>
          <w:szCs w:val="24"/>
        </w:rPr>
      </w:pPr>
      <w:r>
        <w:rPr>
          <w:rFonts w:ascii="Times New Roman" w:hAnsi="Times New Roman" w:eastAsia="Times New Roman" w:cs="Times New Roman"/>
          <w:b/>
          <w:color w:val="000000"/>
          <w:sz w:val="24"/>
          <w:szCs w:val="24"/>
        </w:rPr>
        <w:t xml:space="preserve">Art. 19. </w:t>
      </w:r>
      <w:r>
        <w:rPr>
          <w:rFonts w:ascii="Times New Roman" w:hAnsi="Times New Roman" w:eastAsia="Times New Roman" w:cs="Times New Roman"/>
          <w:color w:val="000000"/>
          <w:sz w:val="24"/>
          <w:szCs w:val="24"/>
        </w:rPr>
        <w:t xml:space="preserve">É expressamente vedado à CPAGA:</w:t>
      </w:r>
      <w:r>
        <w:rPr>
          <w:sz w:val="24"/>
          <w:szCs w:val="24"/>
        </w:rPr>
      </w:r>
      <w:r>
        <w:rPr>
          <w:sz w:val="24"/>
          <w:szCs w:val="24"/>
        </w:rPr>
      </w:r>
    </w:p>
    <w:p>
      <w:pPr>
        <w:pBdr/>
        <w:spacing w:after="0" w:afterAutospacing="0" w:before="0" w:beforeAutospacing="0"/>
        <w:ind/>
        <w:rPr/>
      </w:pPr>
      <w:r>
        <w:rPr>
          <w:sz w:val="24"/>
          <w:szCs w:val="24"/>
        </w:rPr>
      </w:r>
      <w:r>
        <w:rPr>
          <w:rFonts w:ascii="Times New Roman" w:hAnsi="Times New Roman" w:eastAsia="Times New Roman" w:cs="Times New Roman"/>
          <w:sz w:val="24"/>
          <w:szCs w:val="24"/>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t xml:space="preserve">I – executar atividades operacionais de recebimento, conferência, registro, armazenamento, distribuição, controle físico, transporte ou baixa de materiais;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II – emitir validação técnica, laudos, atestados, registros oficiais ou documentos próprios das rotin</w:t>
      </w:r>
      <w:r>
        <w:rPr>
          <w:rFonts w:ascii="Times New Roman" w:hAnsi="Times New Roman" w:eastAsia="Times New Roman" w:cs="Times New Roman"/>
          <w:color w:val="000000"/>
          <w:sz w:val="24"/>
          <w:szCs w:val="24"/>
        </w:rPr>
        <w:t xml:space="preserve">as da unidade de almoxarifado;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III – instruir processos de forma conclusiva ou praticar atos decisórios;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IV – substituir ou interferir nas atribuições privativas dos servidores responsáveis pelas rotinas operacionais, de controle ou gestão de materiais;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highlight w:val="none"/>
        </w:rPr>
      </w:pPr>
      <w:r>
        <w:rPr>
          <w:rFonts w:ascii="Times New Roman" w:hAnsi="Times New Roman" w:eastAsia="Times New Roman" w:cs="Times New Roman"/>
          <w:color w:val="000000"/>
          <w:sz w:val="24"/>
          <w:szCs w:val="24"/>
        </w:rPr>
        <w:t xml:space="preserve">V –</w:t>
      </w:r>
      <w:r>
        <w:rPr>
          <w:rFonts w:ascii="Times New Roman" w:hAnsi="Times New Roman" w:eastAsia="Times New Roman" w:cs="Times New Roman"/>
          <w:color w:val="000000"/>
          <w:sz w:val="24"/>
          <w:szCs w:val="24"/>
        </w:rPr>
        <w:t xml:space="preserve"> exercer funções de chefia, direção, coordenação ou supervisão sobre as rotinas de almoxarifado.</w:t>
      </w:r>
      <w:r>
        <w:rPr>
          <w:highlight w:val="none"/>
        </w:rPr>
      </w:r>
      <w:r>
        <w:rPr>
          <w:highlight w:val="none"/>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pPr>
      <w:r>
        <w:rPr>
          <w:rFonts w:ascii="Times New Roman" w:hAnsi="Times New Roman" w:eastAsia="Times New Roman" w:cs="Times New Roman"/>
          <w:b/>
          <w:bCs/>
          <w:sz w:val="24"/>
          <w:szCs w:val="24"/>
        </w:rPr>
        <w:t xml:space="preserve">Art. 20.</w:t>
      </w:r>
      <w:r>
        <w:rPr>
          <w:rFonts w:ascii="Times New Roman" w:hAnsi="Times New Roman" w:eastAsia="Times New Roman" w:cs="Times New Roman"/>
          <w:sz w:val="24"/>
          <w:szCs w:val="24"/>
        </w:rPr>
        <w:t xml:space="preserve"> Compete à Comissão Permanente de Apoio à Gestão de Almoxarifado – CPAGA, exclusivamente em caráter opinativo e de apoio técnico, auxiliar e subsidiar as atividades relativas à gestão de materiais e almoxarifado da Câmara Municipal, cabendo-lhe, em </w:t>
      </w:r>
      <w:r>
        <w:rPr>
          <w:rFonts w:ascii="Times New Roman" w:hAnsi="Times New Roman" w:eastAsia="Times New Roman" w:cs="Times New Roman"/>
          <w:sz w:val="24"/>
          <w:szCs w:val="24"/>
        </w:rPr>
        <w:t xml:space="preserve">especial:</w:t>
      </w:r>
      <w:r>
        <w:rPr>
          <w:rFonts w:ascii="Times New Roman" w:hAnsi="Times New Roman" w:eastAsia="Times New Roman" w:cs="Times New Roman"/>
          <w:sz w:val="24"/>
          <w:szCs w:val="24"/>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 – acompanhar, sem execução operacional, processos de recebimento, movimentação, armazenamento e distribuição de materiais;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II – analisar procedimentos de registro, conferência e documentação, propondo melhorias para padronização e acurácia dos controles;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III – propor critérios de padronização de materiais, fluxos internos e rotinas administrativas;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IV – acompanhar inventários rotativos e o Inventário Anual, para fins de emissão de manifestação sobre divergências físicas ou sistêmicas identificadas;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 – apon</w:t>
      </w:r>
      <w:r>
        <w:rPr>
          <w:rFonts w:ascii="Times New Roman" w:hAnsi="Times New Roman" w:eastAsia="Times New Roman" w:cs="Times New Roman"/>
          <w:sz w:val="24"/>
          <w:szCs w:val="24"/>
        </w:rPr>
        <w:t xml:space="preserve">tar divergências ou inconsistências que possam subsidiar a conciliação de informações entre Almoxarifado, Contabilidade e Patrimônio;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VI – acompanhar indicadores de estoque, consumo e reposição, propondo ajustes para prevenção de desabastecimento ou excesso</w:t>
      </w:r>
      <w:r>
        <w:rPr>
          <w:rFonts w:ascii="Times New Roman" w:hAnsi="Times New Roman" w:eastAsia="Times New Roman" w:cs="Times New Roman"/>
          <w:sz w:val="24"/>
          <w:szCs w:val="24"/>
        </w:rPr>
        <w:t xml:space="preserve"> de materiais;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VII – sugerir parâmetros para aprimoramento da segurança, do controle interno e da acurácia dos registros de materiais;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VIII – acompanhar, sem executar, procedimentos de devolução, descarte, logística reversa ou destinação ambiental de materi</w:t>
      </w:r>
      <w:r>
        <w:rPr>
          <w:rFonts w:ascii="Times New Roman" w:hAnsi="Times New Roman" w:eastAsia="Times New Roman" w:cs="Times New Roman"/>
          <w:sz w:val="24"/>
          <w:szCs w:val="24"/>
        </w:rPr>
        <w:t xml:space="preserve">ais de consumo;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IX – emitir manifestações opinativas sobre destinação ambientalmente adequada;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 – sugerir melhorias nos fluxos internos, mecanismos de controle interno e procedimentos de segregação de funções;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XI – sugerir propostas de texto e melhorias pa</w:t>
      </w:r>
      <w:r>
        <w:rPr>
          <w:rFonts w:ascii="Times New Roman" w:hAnsi="Times New Roman" w:eastAsia="Times New Roman" w:cs="Times New Roman"/>
          <w:sz w:val="24"/>
          <w:szCs w:val="24"/>
        </w:rPr>
        <w:t xml:space="preserve">ra a elaboração e atualização do Manual de Gestão do Almoxarifado;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XII – manter registros organizados das atividades da Comissão;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XIII – encaminhar relatório semestral de atividades à Presidência da Câmara Municipal;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XIV – comunicar à unidade de almoxarifado eventuais incons</w:t>
      </w:r>
      <w:r>
        <w:rPr>
          <w:rFonts w:ascii="Times New Roman" w:hAnsi="Times New Roman" w:eastAsia="Times New Roman" w:cs="Times New Roman"/>
          <w:sz w:val="24"/>
          <w:szCs w:val="24"/>
        </w:rPr>
        <w:t xml:space="preserve">istências, fragilidades ou irregularidades identificadas no âmbito de suas atribuições.</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829"/>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b w:val="0"/>
          <w:bCs w:val="0"/>
          <w:color w:val="000000"/>
          <w:sz w:val="24"/>
          <w:szCs w:val="24"/>
          <w:highlight w:val="none"/>
        </w:rPr>
      </w:pPr>
      <w:r>
        <w:rPr>
          <w:rFonts w:ascii="Times New Roman" w:hAnsi="Times New Roman" w:eastAsia="Times New Roman" w:cs="Times New Roman"/>
          <w:b/>
          <w:color w:val="000000"/>
          <w:sz w:val="24"/>
          <w:szCs w:val="24"/>
        </w:rPr>
        <w:t xml:space="preserve">Art. 21. </w:t>
      </w:r>
      <w:r>
        <w:rPr>
          <w:rFonts w:ascii="Times New Roman" w:hAnsi="Times New Roman" w:eastAsia="Times New Roman" w:cs="Times New Roman"/>
          <w:color w:val="000000"/>
          <w:sz w:val="24"/>
          <w:szCs w:val="24"/>
        </w:rPr>
        <w:t xml:space="preserve">As manifestações, análises e pareceres da CPAGA</w:t>
      </w:r>
      <w:r>
        <w:rPr>
          <w:rFonts w:ascii="Times New Roman" w:hAnsi="Times New Roman" w:eastAsia="Times New Roman" w:cs="Times New Roman"/>
          <w:b w:val="0"/>
          <w:bCs w:val="0"/>
          <w:color w:val="000000"/>
          <w:sz w:val="24"/>
          <w:szCs w:val="24"/>
        </w:rPr>
        <w:t xml:space="preserve"> têm </w:t>
      </w:r>
      <w:r>
        <w:rPr>
          <w:rFonts w:ascii="Times New Roman" w:hAnsi="Times New Roman" w:eastAsia="Times New Roman" w:cs="Times New Roman"/>
          <w:b w:val="0"/>
          <w:bCs w:val="0"/>
          <w:color w:val="000000"/>
          <w:sz w:val="24"/>
          <w:szCs w:val="24"/>
        </w:rPr>
        <w:t xml:space="preserve">natureza opinativa e não vinculante</w:t>
      </w:r>
      <w:r>
        <w:rPr>
          <w:rFonts w:ascii="Times New Roman" w:hAnsi="Times New Roman" w:eastAsia="Times New Roman" w:cs="Times New Roman"/>
          <w:b w:val="0"/>
          <w:bCs w:val="0"/>
          <w:color w:val="000000"/>
          <w:sz w:val="24"/>
          <w:szCs w:val="24"/>
        </w:rPr>
        <w:t xml:space="preserve">, destinando-se exclusivamente a subsidiar a unidade de almoxarifado e a autoridade competente.</w:t>
      </w:r>
      <w:r>
        <w:rPr>
          <w:rFonts w:ascii="Times New Roman" w:hAnsi="Times New Roman" w:eastAsia="Times New Roman" w:cs="Times New Roman"/>
          <w:b w:val="0"/>
          <w:bCs w:val="0"/>
          <w:color w:val="000000"/>
          <w:sz w:val="24"/>
          <w:szCs w:val="24"/>
          <w:highlight w:val="none"/>
        </w:rPr>
      </w:r>
      <w:r>
        <w:rPr>
          <w:rFonts w:ascii="Times New Roman" w:hAnsi="Times New Roman" w:eastAsia="Times New Roman" w:cs="Times New Roman"/>
          <w:b w:val="0"/>
          <w:bCs w:val="0"/>
          <w:color w:val="000000"/>
          <w:sz w:val="24"/>
          <w:szCs w:val="24"/>
          <w:highlight w:val="none"/>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0" w:afterAutospacing="0" w:before="0" w:beforeAutospacing="0" w:line="240" w:lineRule="auto"/>
        <w:ind w:right="0" w:firstLine="709"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b/>
          <w:color w:val="000000"/>
          <w:sz w:val="24"/>
          <w:szCs w:val="24"/>
        </w:rPr>
        <w:t xml:space="preserve">Parágrafo único.</w:t>
      </w:r>
      <w:r>
        <w:rPr>
          <w:rFonts w:ascii="Times New Roman" w:hAnsi="Times New Roman" w:eastAsia="Times New Roman" w:cs="Times New Roman"/>
          <w:color w:val="000000"/>
          <w:sz w:val="24"/>
          <w:szCs w:val="24"/>
        </w:rPr>
        <w:t xml:space="preserve"> A publicidade das manifestações observará a Lei Geral de Proteção de Dados (Lei Federal nº 13.709/2018) e a legislação municipal aplicável, devendo a divulgação ocorrer apenas após análise da unidade responsável ou do encarregado de proteção de dados.</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Style w:val="1034"/>
        <w:pBdr/>
        <w:spacing w:after="0" w:afterAutospacing="0" w:before="0" w:beforeAutospacing="0" w:line="240" w:lineRule="auto"/>
        <w:ind w:firstLine="708"/>
        <w:jc w:val="both"/>
        <w:rPr>
          <w:b w:val="0"/>
          <w:bCs w:val="0"/>
          <w:sz w:val="24"/>
          <w:szCs w:val="24"/>
        </w:rPr>
      </w:pPr>
      <w:r>
        <w:rPr>
          <w:b w:val="0"/>
          <w:bCs w:val="0"/>
          <w:sz w:val="24"/>
          <w:szCs w:val="24"/>
        </w:rPr>
      </w:r>
      <w:r>
        <w:rPr>
          <w:b w:val="0"/>
          <w:bCs w:val="0"/>
          <w:sz w:val="24"/>
          <w:szCs w:val="24"/>
        </w:rPr>
      </w:r>
      <w:r>
        <w:rPr>
          <w:b w:val="0"/>
          <w:bCs w:val="0"/>
          <w:sz w:val="24"/>
          <w:szCs w:val="24"/>
        </w:rPr>
      </w:r>
    </w:p>
    <w:p>
      <w:pPr>
        <w:pStyle w:val="1034"/>
        <w:pBdr/>
        <w:spacing w:after="0" w:afterAutospacing="0" w:before="0" w:beforeAutospacing="0" w:line="240" w:lineRule="auto"/>
        <w:ind w:firstLine="708"/>
        <w:jc w:val="both"/>
        <w:rPr>
          <w:b w:val="0"/>
          <w:bCs w:val="0"/>
          <w:sz w:val="24"/>
          <w:szCs w:val="24"/>
        </w:rPr>
      </w:pPr>
      <w:r>
        <w:rPr>
          <w:b w:val="0"/>
          <w:bCs w:val="0"/>
          <w:sz w:val="24"/>
          <w:szCs w:val="24"/>
        </w:rPr>
      </w:r>
      <w:r>
        <w:rPr>
          <w:b w:val="0"/>
          <w:bCs w:val="0"/>
          <w:sz w:val="24"/>
          <w:szCs w:val="24"/>
        </w:rPr>
      </w:r>
      <w:r>
        <w:rPr>
          <w:b w:val="0"/>
          <w:bCs w:val="0"/>
          <w:sz w:val="24"/>
          <w:szCs w:val="24"/>
        </w:rPr>
      </w:r>
    </w:p>
    <w:p>
      <w:pPr>
        <w:pStyle w:val="1034"/>
        <w:pBdr/>
        <w:spacing w:after="0" w:afterAutospacing="0" w:before="0" w:beforeAutospacing="0" w:line="240" w:lineRule="auto"/>
        <w:ind w:firstLine="0"/>
        <w:jc w:val="center"/>
        <w:rPr>
          <w:b w:val="0"/>
          <w:bCs w:val="0"/>
        </w:rPr>
      </w:pPr>
      <w:r>
        <w:rPr>
          <w:b w:val="0"/>
          <w:bCs w:val="0"/>
        </w:rPr>
        <w:t xml:space="preserve">CAPÍTULO VIII</w:t>
      </w:r>
      <w:r>
        <w:rPr>
          <w:b w:val="0"/>
          <w:bCs w:val="0"/>
        </w:rPr>
      </w:r>
      <w:r>
        <w:rPr>
          <w:b w:val="0"/>
          <w:bCs w:val="0"/>
        </w:rPr>
      </w:r>
    </w:p>
    <w:p>
      <w:pPr>
        <w:pStyle w:val="1034"/>
        <w:pBdr/>
        <w:spacing w:after="0" w:afterAutospacing="0" w:before="0" w:beforeAutospacing="0" w:line="240" w:lineRule="auto"/>
        <w:ind w:firstLine="0"/>
        <w:jc w:val="center"/>
        <w:rPr>
          <w:b w:val="0"/>
          <w:bCs w:val="0"/>
          <w:highlight w:val="none"/>
        </w:rPr>
      </w:pPr>
      <w:r>
        <w:rPr>
          <w:b w:val="0"/>
          <w:bCs w:val="0"/>
        </w:rPr>
        <w:t xml:space="preserve">DISPOSIÇÕES FINAIS</w:t>
      </w:r>
      <w:r>
        <w:rPr>
          <w:b w:val="0"/>
          <w:bCs w:val="0"/>
          <w:highlight w:val="none"/>
        </w:rPr>
      </w:r>
      <w:r>
        <w:rPr>
          <w:b w:val="0"/>
          <w:bCs w:val="0"/>
          <w:highlight w:val="none"/>
        </w:rPr>
      </w:r>
    </w:p>
    <w:p>
      <w:pPr>
        <w:pStyle w:val="1034"/>
        <w:pBdr/>
        <w:spacing w:after="0" w:afterAutospacing="0" w:before="0" w:beforeAutospacing="0" w:line="240" w:lineRule="auto"/>
        <w:ind w:firstLine="0"/>
        <w:jc w:val="center"/>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val="0"/>
          <w:bCs w:val="0"/>
          <w:highlight w:val="none"/>
        </w:rPr>
      </w:r>
      <w:r>
        <w:rPr>
          <w:b/>
          <w:bCs/>
        </w:rPr>
        <w:t xml:space="preserve">Art. 22. </w:t>
      </w:r>
      <w:r>
        <w:rPr>
          <w:b w:val="0"/>
          <w:bCs w:val="0"/>
        </w:rPr>
        <w:t xml:space="preserve">A execução desta Política observará as competências da estrutura administrativa vigente, cabendo às unidades atuar de forma integrada e em conformidade com os princípios da segregação de funções e da padronização administrativa.</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highlight w:val="none"/>
        </w:rPr>
      </w:pPr>
      <w:r>
        <w:rPr>
          <w:b/>
          <w:bCs/>
          <w:highlight w:val="none"/>
        </w:rPr>
        <w:t xml:space="preserve">Art. 23.</w:t>
      </w:r>
      <w:r>
        <w:rPr>
          <w:b w:val="0"/>
          <w:bCs w:val="0"/>
          <w:highlight w:val="none"/>
        </w:rPr>
        <w:t xml:space="preserve"> Aos membros das Comissões instituídas por esta Lei aplica-se o disposto na legislação municipal que rege a concessão de jeton por participação em órgãos colegiados.</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val="0"/>
          <w:bCs w:val="0"/>
          <w:highlight w:val="none"/>
        </w:rPr>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val="0"/>
          <w:bCs w:val="0"/>
          <w:highlight w:val="none"/>
        </w:rPr>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bCs/>
        </w:rPr>
        <w:t xml:space="preserve">Art. 24. </w:t>
      </w:r>
      <w:r>
        <w:rPr>
          <w:b w:val="0"/>
          <w:bCs w:val="0"/>
        </w:rPr>
      </w:r>
      <w:r>
        <w:rPr>
          <w:b w:val="0"/>
          <w:bCs w:val="0"/>
        </w:rPr>
      </w:r>
      <w:r>
        <w:t xml:space="preserve">Os processos, fluxos e procedimentos relativos à gestão patrimonial, à gestão de materiais, ao almoxarifado, à destinação de resíduos internos e à gestão documental correlata poderão ser regulamentados por ato infralegal do Presidente da Câmara Municipal, </w:t>
      </w:r>
      <w:r>
        <w:t xml:space="preserve">asseguradas a integração sistêmica, a rastreabilidade e a padronização administrativa.</w:t>
      </w:r>
      <w:r>
        <w:rPr>
          <w:b w:val="0"/>
          <w:bCs w:val="0"/>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firstLine="708"/>
        <w:jc w:val="both"/>
        <w:rPr>
          <w:b w:val="0"/>
          <w:bCs w:val="0"/>
        </w:rPr>
      </w:pPr>
      <w:r>
        <w:rPr>
          <w:b/>
          <w:bCs/>
        </w:rPr>
        <w:t xml:space="preserve">§ 1º </w:t>
      </w:r>
      <w:r>
        <w:rPr>
          <w:b w:val="0"/>
          <w:bCs w:val="0"/>
        </w:rPr>
        <w:t xml:space="preserve">O Presidente da Câmara Municipal poderá delegar, total ou parcialmente, à Diretoria-Geral a edição de manuais, fluxos operacionais, formulários, instruções normativas e demais instrumentos necessários à execução desta Lei.</w:t>
      </w:r>
      <w:r>
        <w:rPr>
          <w:b w:val="0"/>
          <w:bCs w:val="0"/>
        </w:rPr>
      </w:r>
    </w:p>
    <w:p>
      <w:pPr>
        <w:pStyle w:val="1034"/>
        <w:pBdr/>
        <w:spacing w:after="0" w:afterAutospacing="0" w:before="0" w:beforeAutospacing="0" w:line="240" w:lineRule="auto"/>
        <w:ind w:firstLine="708"/>
        <w:jc w:val="both"/>
        <w:rPr/>
      </w:pPr>
      <w:r>
        <w:rPr>
          <w:b/>
          <w:bCs/>
        </w:rPr>
      </w:r>
      <w:r>
        <w:rPr>
          <w:b/>
          <w:bCs/>
        </w:rPr>
      </w:r>
    </w:p>
    <w:p>
      <w:pPr>
        <w:pStyle w:val="1034"/>
        <w:pBdr/>
        <w:spacing w:after="0" w:afterAutospacing="0" w:before="0" w:beforeAutospacing="0" w:line="240" w:lineRule="auto"/>
        <w:ind w:firstLine="708"/>
        <w:jc w:val="both"/>
        <w:rPr>
          <w:b w:val="0"/>
          <w:bCs w:val="0"/>
          <w:highlight w:val="none"/>
        </w:rPr>
      </w:pPr>
      <w:r>
        <w:rPr>
          <w:b/>
          <w:bCs/>
        </w:rPr>
        <w:t xml:space="preserve">§ 2º </w:t>
      </w:r>
      <w:r>
        <w:rPr>
          <w:b w:val="0"/>
          <w:bCs w:val="0"/>
        </w:rPr>
        <w:t xml:space="preserve">A regulamentação de que trata este artigo observará as competências estabelecidas na estrutura administrativa vigente e será orientada pelos princípios da segregação de funções, da economicidade e da governança institucional.</w:t>
      </w:r>
      <w:r>
        <w:rPr>
          <w:b w:val="0"/>
          <w:bCs w:val="0"/>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val="0"/>
          <w:bCs w:val="0"/>
          <w:highlight w:val="none"/>
        </w:rPr>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highlight w:val="none"/>
        </w:rPr>
      </w:pPr>
      <w:r>
        <w:rPr>
          <w:b/>
          <w:bCs/>
        </w:rPr>
        <w:t xml:space="preserve">Art. 25.</w:t>
      </w:r>
      <w:r>
        <w:rPr>
          <w:b w:val="0"/>
          <w:bCs w:val="0"/>
        </w:rPr>
        <w:t xml:space="preserve"> Esta Lei entra em vigor na data de sua publicação.</w:t>
      </w:r>
      <w:r>
        <w:rPr>
          <w:b w:val="0"/>
          <w:bCs w:val="0"/>
          <w:highlight w:val="none"/>
        </w:rPr>
      </w:r>
      <w:r>
        <w:rPr>
          <w:b w:val="0"/>
          <w:bCs w:val="0"/>
          <w:highlight w:val="none"/>
        </w:rPr>
      </w:r>
    </w:p>
    <w:p>
      <w:pPr>
        <w:pStyle w:val="1034"/>
        <w:pBdr/>
        <w:spacing w:after="0" w:afterAutospacing="0" w:before="0" w:beforeAutospacing="0" w:line="240" w:lineRule="auto"/>
        <w:ind w:firstLine="708"/>
        <w:jc w:val="both"/>
        <w:rPr>
          <w:b w:val="0"/>
          <w:bCs w:val="0"/>
        </w:rPr>
      </w:pPr>
      <w:r>
        <w:rPr>
          <w:b w:val="0"/>
          <w:bCs w:val="0"/>
          <w:highlight w:val="none"/>
        </w:rPr>
      </w:r>
      <w:r>
        <w:rPr>
          <w:b w:val="0"/>
          <w:bCs w:val="0"/>
        </w:rPr>
      </w:r>
      <w:r>
        <w:rPr>
          <w:b w:val="0"/>
          <w:bCs w:val="0"/>
        </w:rPr>
      </w:r>
    </w:p>
    <w:p>
      <w:pPr>
        <w:pStyle w:val="1034"/>
        <w:pBdr/>
        <w:spacing w:after="0" w:afterAutospacing="0" w:before="0" w:beforeAutospacing="0" w:line="240" w:lineRule="auto"/>
        <w:ind/>
        <w:jc w:val="center"/>
        <w:rPr/>
      </w:pPr>
      <w:r>
        <w:t xml:space="preserve">Sala das Sessões, 03 de março de 2026.</w:t>
      </w:r>
      <w:r/>
    </w:p>
    <w:p>
      <w:pPr>
        <w:pStyle w:val="1034"/>
        <w:pBdr/>
        <w:spacing/>
        <w:ind/>
        <w:jc w:val="center"/>
        <w:rPr/>
      </w:pPr>
      <w:r/>
      <w:r/>
    </w:p>
    <w:p>
      <w:pPr>
        <w:pStyle w:val="874"/>
        <w:pBdr/>
        <w:spacing/>
        <w:ind/>
        <w:jc w:val="center"/>
        <w:rPr/>
      </w:pPr>
      <w:r>
        <w:rPr>
          <w:rFonts w:ascii="Times New Roman" w:hAnsi="Times New Roman" w:cs="Times New Roman"/>
          <w:b/>
          <w:sz w:val="24"/>
          <w:szCs w:val="24"/>
        </w:rPr>
        <w:t xml:space="preserve">Alan Mansur Pereira</w:t>
      </w:r>
      <w:r/>
    </w:p>
    <w:p>
      <w:pPr>
        <w:pStyle w:val="874"/>
        <w:pBdr/>
        <w:spacing/>
        <w:ind/>
        <w:jc w:val="center"/>
        <w:rPr/>
      </w:pPr>
      <w:r>
        <w:rPr>
          <w:rFonts w:ascii="Times New Roman" w:hAnsi="Times New Roman" w:cs="Times New Roman"/>
          <w:sz w:val="24"/>
          <w:szCs w:val="24"/>
        </w:rPr>
        <w:t xml:space="preserve">Presidente</w:t>
      </w:r>
      <w:r/>
    </w:p>
    <w:p>
      <w:pPr>
        <w:pStyle w:val="874"/>
        <w:pBdr/>
        <w:spacing/>
        <w:ind/>
        <w:jc w:val="center"/>
        <w:rPr/>
      </w:pPr>
      <w:r/>
      <w:r/>
    </w:p>
    <w:p>
      <w:pPr>
        <w:pStyle w:val="874"/>
        <w:pBdr/>
        <w:spacing/>
        <w:ind/>
        <w:jc w:val="center"/>
        <w:rPr/>
      </w:pPr>
      <w:r/>
      <w:r/>
    </w:p>
    <w:p>
      <w:pPr>
        <w:pStyle w:val="874"/>
        <w:pBdr/>
        <w:spacing/>
        <w:ind/>
        <w:jc w:val="center"/>
        <w:rPr/>
      </w:pPr>
      <w:r>
        <w:rPr>
          <w:rFonts w:ascii="Times New Roman" w:hAnsi="Times New Roman" w:cs="Times New Roman"/>
          <w:b/>
          <w:bCs/>
          <w:sz w:val="24"/>
          <w:szCs w:val="24"/>
        </w:rPr>
        <w:t xml:space="preserve">Luciano Diniz Caldas</w:t>
      </w:r>
      <w:r/>
    </w:p>
    <w:p>
      <w:pPr>
        <w:pStyle w:val="874"/>
        <w:pBdr/>
        <w:spacing/>
        <w:ind/>
        <w:jc w:val="center"/>
        <w:rPr/>
      </w:pPr>
      <w:r>
        <w:rPr>
          <w:rFonts w:ascii="Times New Roman" w:hAnsi="Times New Roman" w:cs="Times New Roman"/>
          <w:sz w:val="24"/>
          <w:szCs w:val="24"/>
        </w:rPr>
        <w:t xml:space="preserve">Primeiro Vice-Presidente</w:t>
      </w:r>
      <w:r/>
    </w:p>
    <w:p>
      <w:pPr>
        <w:pStyle w:val="874"/>
        <w:pBdr/>
        <w:spacing/>
        <w:ind/>
        <w:jc w:val="center"/>
        <w:rPr/>
      </w:pPr>
      <w:r/>
      <w:r/>
    </w:p>
    <w:p>
      <w:pPr>
        <w:pStyle w:val="874"/>
        <w:pBdr/>
        <w:spacing/>
        <w:ind/>
        <w:jc w:val="center"/>
        <w:rPr/>
      </w:pPr>
      <w:r/>
      <w:r/>
    </w:p>
    <w:p>
      <w:pPr>
        <w:pStyle w:val="874"/>
        <w:pBdr/>
        <w:spacing/>
        <w:ind/>
        <w:jc w:val="center"/>
        <w:rPr/>
      </w:pPr>
      <w:r>
        <w:rPr>
          <w:rFonts w:ascii="Times New Roman" w:hAnsi="Times New Roman" w:cs="Times New Roman"/>
          <w:b/>
          <w:sz w:val="24"/>
          <w:szCs w:val="24"/>
        </w:rPr>
        <w:t xml:space="preserve">Nilton Cesar Pereira Moreira</w:t>
      </w:r>
      <w:r/>
    </w:p>
    <w:p>
      <w:pPr>
        <w:pStyle w:val="874"/>
        <w:pBdr/>
        <w:spacing/>
        <w:ind/>
        <w:jc w:val="center"/>
        <w:rPr/>
      </w:pPr>
      <w:r>
        <w:rPr>
          <w:rFonts w:ascii="Times New Roman" w:hAnsi="Times New Roman" w:cs="Times New Roman"/>
          <w:sz w:val="24"/>
          <w:szCs w:val="24"/>
        </w:rPr>
        <w:t xml:space="preserve">Segundo Vice-Presidente</w:t>
      </w:r>
      <w:r/>
    </w:p>
    <w:p>
      <w:pPr>
        <w:pStyle w:val="874"/>
        <w:pBdr/>
        <w:spacing/>
        <w:ind/>
        <w:jc w:val="center"/>
        <w:rPr/>
      </w:pPr>
      <w:r/>
      <w:r/>
    </w:p>
    <w:p>
      <w:pPr>
        <w:pStyle w:val="874"/>
        <w:pBdr/>
        <w:spacing/>
        <w:ind/>
        <w:jc w:val="center"/>
        <w:rPr/>
      </w:pPr>
      <w:r/>
      <w:r/>
    </w:p>
    <w:p>
      <w:pPr>
        <w:pStyle w:val="874"/>
        <w:pBdr/>
        <w:spacing/>
        <w:ind/>
        <w:jc w:val="center"/>
        <w:rPr/>
      </w:pPr>
      <w:r>
        <w:rPr>
          <w:rFonts w:ascii="Times New Roman" w:hAnsi="Times New Roman" w:cs="Times New Roman"/>
          <w:b/>
          <w:bCs/>
          <w:sz w:val="24"/>
          <w:szCs w:val="24"/>
        </w:rPr>
        <w:t xml:space="preserve">Leandr</w:t>
      </w:r>
      <w:r>
        <w:rPr>
          <w:rFonts w:ascii="Times New Roman" w:hAnsi="Times New Roman" w:cs="Times New Roman"/>
          <w:b/>
          <w:bCs/>
          <w:sz w:val="24"/>
          <w:szCs w:val="24"/>
        </w:rPr>
        <w:t xml:space="preserve">a Lopes</w:t>
      </w:r>
      <w:r/>
    </w:p>
    <w:p>
      <w:pPr>
        <w:pStyle w:val="874"/>
        <w:pBdr/>
        <w:spacing/>
        <w:ind/>
        <w:jc w:val="center"/>
        <w:rPr/>
      </w:pPr>
      <w:r>
        <w:rPr>
          <w:rFonts w:ascii="Times New Roman" w:hAnsi="Times New Roman" w:cs="Times New Roman"/>
          <w:sz w:val="24"/>
          <w:szCs w:val="24"/>
        </w:rPr>
        <w:t xml:space="preserve">Primeiro Secretário</w:t>
      </w:r>
      <w:r/>
    </w:p>
    <w:p>
      <w:pPr>
        <w:pStyle w:val="874"/>
        <w:pBdr/>
        <w:spacing/>
        <w:ind/>
        <w:jc w:val="center"/>
        <w:rPr/>
      </w:pPr>
      <w:r/>
      <w:r/>
    </w:p>
    <w:p>
      <w:pPr>
        <w:pStyle w:val="874"/>
        <w:pBdr/>
        <w:spacing/>
        <w:ind/>
        <w:jc w:val="center"/>
        <w:rPr/>
      </w:pPr>
      <w:r/>
      <w:r/>
    </w:p>
    <w:p>
      <w:pPr>
        <w:pStyle w:val="874"/>
        <w:pBdr/>
        <w:spacing/>
        <w:ind/>
        <w:jc w:val="center"/>
        <w:rPr/>
      </w:pPr>
      <w:r>
        <w:rPr>
          <w:rFonts w:ascii="Times New Roman" w:hAnsi="Times New Roman" w:cs="Times New Roman"/>
          <w:b/>
          <w:bCs/>
          <w:sz w:val="24"/>
          <w:szCs w:val="24"/>
        </w:rPr>
        <w:t xml:space="preserve">Jose Geraldo Jardim Filho</w:t>
      </w:r>
      <w:r/>
    </w:p>
    <w:p>
      <w:pPr>
        <w:pStyle w:val="874"/>
        <w:pBdr/>
        <w:spacing/>
        <w:ind/>
        <w:jc w:val="center"/>
        <w:rPr/>
      </w:pPr>
      <w:r>
        <w:rPr>
          <w:rFonts w:ascii="Times New Roman" w:hAnsi="Times New Roman" w:cs="Times New Roman"/>
          <w:sz w:val="24"/>
          <w:szCs w:val="24"/>
        </w:rPr>
        <w:t xml:space="preserve">Segundo Secretário</w:t>
      </w:r>
      <w:r/>
    </w:p>
    <w:p>
      <w:pPr>
        <w:pStyle w:val="874"/>
        <w:pBdr/>
        <w:spacing/>
        <w:ind/>
        <w:jc w:val="center"/>
        <w:rPr/>
      </w:pPr>
      <w:r/>
      <w:r/>
    </w:p>
    <w:p>
      <w:pPr>
        <w:pStyle w:val="874"/>
        <w:pBdr/>
        <w:spacing/>
        <w:ind/>
        <w:jc w:val="center"/>
        <w:rPr/>
      </w:pPr>
      <w:r/>
      <w:r/>
    </w:p>
    <w:p>
      <w:pPr>
        <w:pStyle w:val="874"/>
        <w:pBdr/>
        <w:spacing/>
        <w:ind/>
        <w:jc w:val="center"/>
        <w:rPr/>
      </w:pPr>
      <w:r/>
      <w:r/>
    </w:p>
    <w:p>
      <w:pPr>
        <w:pStyle w:val="874"/>
        <w:pBdr/>
        <w:spacing/>
        <w:ind/>
        <w:jc w:val="center"/>
        <w:rPr/>
      </w:pPr>
      <w:r/>
      <w:r/>
    </w:p>
    <w:p>
      <w:pPr>
        <w:pStyle w:val="874"/>
        <w:pBdr/>
        <w:spacing/>
        <w:ind/>
        <w:jc w:val="center"/>
        <w:rPr/>
      </w:pPr>
      <w:r/>
      <w:r/>
    </w:p>
    <w:p>
      <w:pPr>
        <w:pStyle w:val="874"/>
        <w:pBdr/>
        <w:spacing/>
        <w:ind/>
        <w:jc w:val="center"/>
        <w:rPr/>
      </w:pPr>
      <w:r/>
      <w:r/>
    </w:p>
    <w:p>
      <w:pPr>
        <w:pStyle w:val="874"/>
        <w:pBdr/>
        <w:spacing/>
        <w:ind/>
        <w:jc w:val="center"/>
        <w:rPr/>
      </w:pPr>
      <w:r/>
      <w:r/>
    </w:p>
    <w:p>
      <w:pPr>
        <w:pStyle w:val="874"/>
        <w:pBdr/>
        <w:spacing/>
        <w:ind/>
        <w:jc w:val="center"/>
        <w:rPr/>
      </w:pPr>
      <w:r/>
      <w:r/>
    </w:p>
    <w:p>
      <w:pPr>
        <w:pStyle w:val="874"/>
        <w:pBdr/>
        <w:spacing/>
        <w:ind/>
        <w:jc w:val="center"/>
        <w:rPr/>
      </w:pPr>
      <w:r/>
      <w:r/>
    </w:p>
    <w:p>
      <w:pPr>
        <w:pStyle w:val="874"/>
        <w:pBdr/>
        <w:spacing/>
        <w:ind/>
        <w:jc w:val="center"/>
        <w:rPr/>
      </w:pPr>
      <w:r/>
      <w:r/>
    </w:p>
    <w:p>
      <w:pPr>
        <w:pStyle w:val="874"/>
        <w:pBdr/>
        <w:spacing/>
        <w:ind/>
        <w:jc w:val="center"/>
        <w:rPr/>
      </w:pPr>
      <w:r/>
      <w:r/>
    </w:p>
    <w:p>
      <w:pPr>
        <w:pStyle w:val="874"/>
        <w:pBdr/>
        <w:spacing/>
        <w:ind/>
        <w:jc w:val="center"/>
        <w:rPr/>
      </w:pPr>
      <w:r/>
      <w:r/>
    </w:p>
    <w:p>
      <w:pPr>
        <w:pStyle w:val="874"/>
        <w:pBdr/>
        <w:spacing/>
        <w:ind/>
        <w:jc w:val="center"/>
        <w:rPr/>
      </w:pPr>
      <w:r/>
      <w:r/>
    </w:p>
    <w:p>
      <w:pPr>
        <w:pBdr/>
        <w:spacing/>
        <w:ind/>
        <w:jc w:val="center"/>
        <w:rPr>
          <w:rFonts w:ascii="Times New Roman" w:hAnsi="Times New Roman" w:cs="Times New Roman"/>
          <w:b/>
          <w:bCs/>
          <w:sz w:val="24"/>
          <w:szCs w:val="24"/>
          <w:highlight w:val="none"/>
        </w:rPr>
      </w:pPr>
      <w:r>
        <w:rPr>
          <w:rFonts w:ascii="Times New Roman" w:hAnsi="Times New Roman" w:cs="Times New Roman"/>
          <w:b/>
          <w:sz w:val="24"/>
          <w:szCs w:val="24"/>
        </w:rPr>
        <w:t xml:space="preserve">JUSTIFICATIVA</w:t>
      </w: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p>
    <w:p>
      <w:pPr>
        <w:pBdr/>
        <w:spacing/>
        <w:ind/>
        <w:jc w:val="center"/>
        <w:rPr>
          <w:rFonts w:ascii="Times New Roman" w:hAnsi="Times New Roman" w:cs="Times New Roman"/>
          <w:b/>
          <w:bCs/>
          <w:sz w:val="24"/>
          <w:szCs w:val="24"/>
          <w:highlight w:val="none"/>
        </w:rPr>
      </w:pP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p>
    <w:p>
      <w:pPr>
        <w:pStyle w:val="1034"/>
        <w:pBdr/>
        <w:spacing w:after="0" w:afterAutospacing="0" w:before="0" w:beforeAutospacing="0"/>
        <w:ind w:firstLine="709"/>
        <w:jc w:val="both"/>
        <w:rPr/>
      </w:pPr>
      <w:r>
        <w:t xml:space="preserve">O</w:t>
      </w:r>
      <w:r>
        <w:t xml:space="preserve"> presente Projeto de Lei tem por objetivo instituir a Política Integrada de Gestão Patrimonial, de Materiais e de Resíduos Internos, estabelecendo um moderno arcabouço normativo para a governança dos bens e recursos da Câmara Municipal de Macaé. A proposta</w:t>
      </w:r>
      <w:r>
        <w:t xml:space="preserve"> visa mitigar riscos, fortalecer a integridade dos processos administrativos e conferir maior segurança jurídica aos gestores e servidores envolvidos.</w:t>
      </w:r>
      <w:r/>
    </w:p>
    <w:p>
      <w:pPr>
        <w:pStyle w:val="1034"/>
        <w:pBdr/>
        <w:spacing w:after="0" w:afterAutospacing="0" w:before="0" w:beforeAutospacing="0"/>
        <w:ind w:firstLine="709"/>
        <w:jc w:val="both"/>
        <w:rPr/>
      </w:pPr>
      <w:r/>
      <w:r/>
    </w:p>
    <w:p>
      <w:pPr>
        <w:pStyle w:val="1034"/>
        <w:pBdr/>
        <w:spacing w:after="0" w:afterAutospacing="0" w:before="0" w:beforeAutospacing="0"/>
        <w:ind w:firstLine="709"/>
        <w:jc w:val="both"/>
        <w:rPr/>
      </w:pPr>
      <w:r>
        <w:t xml:space="preserve">A</w:t>
      </w:r>
      <w:r>
        <w:t xml:space="preserve"> medida decorre da necessidade premente de alinhar as rotinas da Casa Legislativa às melhores práticas de administração pública, em estrita conformidade com as exigências do Tribunal de Contas do Estado do Rio de Janeiro (TCE-RJ), do Manual de Contabilidad</w:t>
      </w:r>
      <w:r>
        <w:t xml:space="preserve">e</w:t>
      </w:r>
      <w:r>
        <w:t xml:space="preserve"> Aplicada ao Setor Público (MCASP) e das Normas Brasileiras de Contabilidade (NBC TSP). Ao integrar a gestão de bens permanentes, materiais de consumo e resíduos, o projeto estabelece uma matriz de responsabilidades clara e processos padronizados, essencia</w:t>
      </w:r>
      <w:r>
        <w:t xml:space="preserve">is para a eficiência, a economicidade e a transparência na aplicação dos recursos públicos.</w:t>
      </w:r>
      <w:r/>
    </w:p>
    <w:p>
      <w:pPr>
        <w:pStyle w:val="1034"/>
        <w:pBdr/>
        <w:spacing w:after="0" w:afterAutospacing="0" w:before="0" w:beforeAutospacing="0"/>
        <w:ind w:firstLine="709"/>
        <w:jc w:val="both"/>
        <w:rPr/>
      </w:pPr>
      <w:r/>
      <w:r/>
    </w:p>
    <w:p>
      <w:pPr>
        <w:pStyle w:val="1034"/>
        <w:pBdr/>
        <w:spacing w:after="0" w:afterAutospacing="0" w:before="0" w:beforeAutospacing="0"/>
        <w:ind w:firstLine="709"/>
        <w:jc w:val="both"/>
        <w:rPr/>
      </w:pPr>
      <w:r>
        <w:t xml:space="preserve">U</w:t>
      </w:r>
      <w:r>
        <w:t xml:space="preserve">m pilar fundamental desta nova governança é a instituição de duas comissões permanentes de apoio, de natureza exclusivamente consultiva, opinativa e não executória. É crucial ressaltar que tais comissões não se sobrepõem às unidades administrativas existen</w:t>
      </w:r>
      <w:r>
        <w:t xml:space="preserve">t</w:t>
      </w:r>
      <w:r>
        <w:t xml:space="preserve">es, tampouco exercem suas funções. Pelo contrário, atuam como uma segunda camada de verificação, em total observância ao princípio da segregação de funções. Seu papel é oferecer subsídio técnico, acompanhar procedimentos críticos como inventários e avaliaç</w:t>
      </w:r>
      <w:r>
        <w:t xml:space="preserve">ões, e propor melhorias, fortalecendo o controle interno sem criar embaraços à execução.</w:t>
      </w:r>
      <w:r/>
    </w:p>
    <w:p>
      <w:pPr>
        <w:pStyle w:val="1034"/>
        <w:pBdr/>
        <w:spacing w:after="0" w:afterAutospacing="0" w:before="0" w:beforeAutospacing="0"/>
        <w:ind w:firstLine="709"/>
        <w:jc w:val="both"/>
        <w:rPr/>
      </w:pPr>
      <w:r/>
      <w:r/>
    </w:p>
    <w:p>
      <w:pPr>
        <w:pStyle w:val="1034"/>
        <w:pBdr/>
        <w:spacing w:after="0" w:afterAutospacing="0" w:before="0" w:beforeAutospacing="0"/>
        <w:ind w:firstLine="709"/>
        <w:jc w:val="both"/>
        <w:rPr/>
      </w:pPr>
      <w:r>
        <w:t xml:space="preserve">E</w:t>
      </w:r>
      <w:r>
        <w:t xml:space="preserve">m respeito à boa técnica legislativa e à autonomia da gestão administrativa, o projeto se abstém de detalhar rotinas operacionais. A definição de fluxos, formulários e procedimentos específicos fica a cargo de atos infralegais da Presidência, com possibili</w:t>
      </w:r>
      <w:r>
        <w:t xml:space="preserve">dade de delegação. Essa abordagem evita o engessamento da gestão e permite que a administração se adapte com agilidade às necessidades e às novas tecnologias, sem a morosidade de um processo legislativo.</w:t>
      </w:r>
      <w:r/>
    </w:p>
    <w:p>
      <w:pPr>
        <w:pStyle w:val="1034"/>
        <w:pBdr/>
        <w:spacing w:after="0" w:afterAutospacing="0" w:before="0" w:beforeAutospacing="0"/>
        <w:ind w:firstLine="709"/>
        <w:jc w:val="both"/>
        <w:rPr/>
      </w:pPr>
      <w:r/>
      <w:r/>
    </w:p>
    <w:p>
      <w:pPr>
        <w:pStyle w:val="1034"/>
        <w:pBdr/>
        <w:spacing w:after="0" w:afterAutospacing="0" w:before="0" w:beforeAutospacing="0"/>
        <w:ind w:firstLine="709"/>
        <w:jc w:val="both"/>
        <w:rPr/>
      </w:pPr>
      <w:r>
        <w:t xml:space="preserve">A</w:t>
      </w:r>
      <w:r>
        <w:t xml:space="preserve"> proposta foi concebida em plena harmonia com o ordenamento jurídico vigente, dialogando diretamente com a Lei Municipal nº 4.902/2022 (Estrutura Administrativa), a Lei Federal nº 14.133/2021 (Lei de Licitações e Contratos) e a Lei Federal nº 12.305/2010 (</w:t>
      </w:r>
      <w:r>
        <w:t xml:space="preserve">Política Nacional de Resíduos Sólidos), conferindo robustez e segurança jurídica à matéria.</w:t>
      </w:r>
      <w:r/>
    </w:p>
    <w:p>
      <w:pPr>
        <w:pStyle w:val="1034"/>
        <w:pBdr/>
        <w:spacing w:after="0" w:afterAutospacing="0" w:before="0" w:beforeAutospacing="0"/>
        <w:ind w:firstLine="709"/>
        <w:jc w:val="both"/>
        <w:rPr/>
      </w:pPr>
      <w:r/>
      <w:r/>
    </w:p>
    <w:p>
      <w:pPr>
        <w:pStyle w:val="1034"/>
        <w:pBdr/>
        <w:spacing w:after="0" w:afterAutospacing="0" w:before="0" w:beforeAutospacing="0"/>
        <w:ind w:firstLine="709"/>
        <w:jc w:val="both"/>
        <w:rPr>
          <w:highlight w:val="none"/>
        </w:rPr>
      </w:pPr>
      <w:r>
        <w:t xml:space="preserve">A</w:t>
      </w:r>
      <w:r>
        <w:t xml:space="preserve"> aprovação deste Projeto de Lei, portanto, representa um avanço indispensável para a modernização administrativa do Poder Legislativo de Macaé. Consolida-se um sistema de gestão que protege o patrimônio público, otimiza o uso de materiais, promove a susten</w:t>
      </w:r>
      <w:r>
        <w:t xml:space="preserve">tabilidade e, acima de tudo, assegura a integridade e a rastreabilidade dos atos de gestão, alinhando a Câmara Municipal aos mais elevados padrões de governança exigidos da Administração Pública contemporânea.</w:t>
      </w:r>
      <w:r/>
    </w:p>
    <w:p>
      <w:pPr>
        <w:pStyle w:val="1034"/>
        <w:pBdr/>
        <w:spacing w:after="0" w:afterAutospacing="0" w:before="0" w:beforeAutospacing="0"/>
        <w:ind w:firstLine="709"/>
        <w:jc w:val="both"/>
        <w:rPr/>
      </w:pPr>
      <w:r>
        <w:rPr>
          <w:highlight w:val="none"/>
        </w:rPr>
      </w:r>
      <w:r>
        <w:rPr>
          <w:highlight w:val="none"/>
        </w:rPr>
      </w:r>
      <w:r>
        <w:rPr>
          <w:highlight w:val="none"/>
        </w:rPr>
      </w:r>
    </w:p>
    <w:p>
      <w:pPr>
        <w:pStyle w:val="1034"/>
        <w:pBdr/>
        <w:spacing w:after="0" w:afterAutospacing="0" w:before="0" w:beforeAutospacing="0"/>
        <w:ind w:firstLine="709"/>
        <w:jc w:val="both"/>
        <w:rPr>
          <w:highlight w:val="none"/>
        </w:rPr>
      </w:pPr>
      <w:r>
        <w:rPr>
          <w:highlight w:val="none"/>
        </w:rPr>
      </w:r>
      <w:r>
        <w:rPr>
          <w:highlight w:val="none"/>
        </w:rPr>
      </w:r>
      <w:r>
        <w:rPr>
          <w:highlight w:val="none"/>
        </w:rPr>
        <w:t xml:space="preserve">A tramitação em regime de urgência justifica-se pela necessidade de adequar, com brevidade, a organização administrativa interna da Câmara Municipal, suprindo lacunas normativas e fortalecendo a segurança jurídica dos procedimentos institucionais. A rápida </w:t>
      </w:r>
      <w:r>
        <w:rPr>
          <w:highlight w:val="none"/>
        </w:rPr>
        <w:t xml:space="preserve">aprovação deste Projeto de Lei é essencial para assegurar conformidade com as exigências legais e dos órgãos de controle, além de prevenir a continuidade de práticas administrativas defasadas, garantindo maior eficiência, transparência e governança pública.</w:t>
      </w:r>
      <w:r>
        <w:rPr>
          <w:highlight w:val="none"/>
        </w:rPr>
      </w:r>
      <w:r/>
    </w:p>
    <w:p>
      <w:pPr>
        <w:pStyle w:val="1034"/>
        <w:pBdr/>
        <w:spacing w:after="0" w:afterAutospacing="0" w:before="0" w:beforeAutospacing="0"/>
        <w:ind w:firstLine="709"/>
        <w:jc w:val="both"/>
        <w:rPr/>
      </w:pPr>
      <w:r>
        <w:rPr>
          <w:highlight w:val="none"/>
        </w:rPr>
      </w:r>
      <w:r>
        <w:rPr>
          <w:highlight w:val="none"/>
        </w:rPr>
      </w:r>
      <w:r>
        <w:rPr>
          <w:highlight w:val="none"/>
        </w:rPr>
      </w:r>
    </w:p>
    <w:p>
      <w:pPr>
        <w:pStyle w:val="1034"/>
        <w:pBdr/>
        <w:spacing w:after="0" w:afterAutospacing="0" w:before="0" w:beforeAutospacing="0"/>
        <w:ind w:firstLine="709"/>
        <w:jc w:val="both"/>
        <w:rPr>
          <w:highlight w:val="none"/>
        </w:rPr>
      </w:pPr>
      <w:r>
        <w:t xml:space="preserve">Diante do exposto, submete-se o presente Projeto de Lei à apreciação dos Nobres Vereadores, em regime de urgência, na certeza de sua aprovação.</w:t>
      </w:r>
      <w:r/>
    </w:p>
    <w:p>
      <w:pPr>
        <w:pStyle w:val="1034"/>
        <w:pBdr/>
        <w:spacing w:after="0" w:afterAutospacing="0" w:before="0" w:beforeAutospacing="0"/>
        <w:ind w:firstLine="0"/>
        <w:jc w:val="both"/>
        <w:rPr/>
      </w:pPr>
      <w:r>
        <w:rPr>
          <w:highlight w:val="none"/>
        </w:rPr>
      </w:r>
      <w:r>
        <w:rPr>
          <w:highlight w:val="none"/>
        </w:rPr>
      </w:r>
      <w:r/>
    </w:p>
    <w:p>
      <w:pPr>
        <w:pStyle w:val="1034"/>
        <w:pBdr/>
        <w:spacing w:after="0" w:afterAutospacing="0" w:before="0" w:beforeAutospacing="0"/>
        <w:ind w:firstLine="0"/>
        <w:jc w:val="center"/>
        <w:rPr>
          <w:highlight w:val="none"/>
        </w:rPr>
      </w:pPr>
      <w:r>
        <w:t xml:space="preserve">Sala das Sessões, 03 de março de 2026.</w:t>
      </w:r>
      <w:r>
        <w:rPr>
          <w:highlight w:val="none"/>
        </w:rPr>
      </w:r>
      <w:r>
        <w:rPr>
          <w:highlight w:val="none"/>
        </w:rPr>
      </w:r>
    </w:p>
    <w:p>
      <w:pPr>
        <w:pStyle w:val="1034"/>
        <w:pBdr/>
        <w:spacing w:after="0" w:afterAutospacing="0" w:before="0" w:beforeAutospacing="0"/>
        <w:ind/>
        <w:jc w:val="center"/>
        <w:rPr/>
      </w:pPr>
      <w:r/>
      <w:r/>
    </w:p>
    <w:p>
      <w:pPr>
        <w:pStyle w:val="1034"/>
        <w:pBdr/>
        <w:spacing w:after="0" w:afterAutospacing="0" w:before="0" w:beforeAutospacing="0"/>
        <w:ind/>
        <w:jc w:val="center"/>
        <w:rPr/>
      </w:pPr>
      <w:r/>
      <w:r/>
    </w:p>
    <w:p>
      <w:pPr>
        <w:pStyle w:val="874"/>
        <w:pBdr/>
        <w:spacing/>
        <w:ind/>
        <w:jc w:val="center"/>
        <w:rPr>
          <w:rFonts w:ascii="Times New Roman" w:hAnsi="Times New Roman" w:cs="Times New Roman"/>
          <w:b/>
          <w:sz w:val="24"/>
          <w:szCs w:val="24"/>
        </w:rPr>
      </w:pPr>
      <w:r>
        <w:rPr>
          <w:rFonts w:ascii="Times New Roman" w:hAnsi="Times New Roman" w:cs="Times New Roman"/>
          <w:b/>
          <w:sz w:val="24"/>
          <w:szCs w:val="24"/>
        </w:rPr>
      </w:r>
      <w:r>
        <w:rPr>
          <w:rFonts w:ascii="Times New Roman" w:hAnsi="Times New Roman" w:cs="Times New Roman"/>
          <w:b/>
          <w:sz w:val="24"/>
          <w:szCs w:val="24"/>
        </w:rPr>
      </w:r>
      <w:r>
        <w:rPr>
          <w:rFonts w:ascii="Times New Roman" w:hAnsi="Times New Roman" w:cs="Times New Roman"/>
          <w:b/>
          <w:sz w:val="24"/>
          <w:szCs w:val="24"/>
        </w:rPr>
      </w:r>
    </w:p>
    <w:p>
      <w:pPr>
        <w:pStyle w:val="874"/>
        <w:pBdr/>
        <w:spacing/>
        <w:ind/>
        <w:jc w:val="center"/>
        <w:rPr/>
      </w:pPr>
      <w:r>
        <w:rPr>
          <w:rFonts w:ascii="Times New Roman" w:hAnsi="Times New Roman" w:cs="Times New Roman"/>
          <w:b/>
          <w:sz w:val="24"/>
          <w:szCs w:val="24"/>
        </w:rPr>
        <w:t xml:space="preserve">Alan Mansur Pereira</w:t>
      </w:r>
      <w:r/>
    </w:p>
    <w:p>
      <w:pPr>
        <w:pStyle w:val="874"/>
        <w:pBdr/>
        <w:spacing/>
        <w:ind/>
        <w:jc w:val="center"/>
        <w:rPr/>
      </w:pPr>
      <w:r>
        <w:rPr>
          <w:rFonts w:ascii="Times New Roman" w:hAnsi="Times New Roman" w:cs="Times New Roman"/>
          <w:sz w:val="24"/>
          <w:szCs w:val="24"/>
        </w:rPr>
        <w:t xml:space="preserve">Presidente</w:t>
      </w:r>
      <w:r/>
    </w:p>
    <w:p>
      <w:pPr>
        <w:pStyle w:val="874"/>
        <w:pBdr/>
        <w:spacing/>
        <w:ind/>
        <w:jc w:val="center"/>
        <w:rPr/>
      </w:pPr>
      <w:r/>
      <w:r/>
    </w:p>
    <w:p>
      <w:pPr>
        <w:pStyle w:val="874"/>
        <w:pBdr/>
        <w:spacing/>
        <w:ind/>
        <w:jc w:val="center"/>
        <w:rPr/>
      </w:pPr>
      <w:r/>
      <w:r/>
    </w:p>
    <w:p>
      <w:pPr>
        <w:pStyle w:val="874"/>
        <w:pBdr/>
        <w:spacing/>
        <w:ind/>
        <w:jc w:val="center"/>
        <w:rPr/>
      </w:pPr>
      <w:r>
        <w:rPr>
          <w:rFonts w:ascii="Times New Roman" w:hAnsi="Times New Roman" w:cs="Times New Roman"/>
          <w:b/>
          <w:bCs/>
          <w:sz w:val="24"/>
          <w:szCs w:val="24"/>
        </w:rPr>
        <w:t xml:space="preserve">Luciano Diniz Caldas</w:t>
      </w:r>
      <w:r/>
    </w:p>
    <w:p>
      <w:pPr>
        <w:pStyle w:val="874"/>
        <w:pBdr/>
        <w:spacing/>
        <w:ind/>
        <w:jc w:val="center"/>
        <w:rPr/>
      </w:pPr>
      <w:r>
        <w:rPr>
          <w:rFonts w:ascii="Times New Roman" w:hAnsi="Times New Roman" w:cs="Times New Roman"/>
          <w:sz w:val="24"/>
          <w:szCs w:val="24"/>
        </w:rPr>
        <w:t xml:space="preserve">Primeiro Vice-Presidente</w:t>
      </w:r>
      <w:r/>
    </w:p>
    <w:p>
      <w:pPr>
        <w:pStyle w:val="874"/>
        <w:pBdr/>
        <w:spacing/>
        <w:ind/>
        <w:jc w:val="center"/>
        <w:rPr/>
      </w:pPr>
      <w:r/>
      <w:r/>
    </w:p>
    <w:p>
      <w:pPr>
        <w:pStyle w:val="874"/>
        <w:pBdr/>
        <w:spacing/>
        <w:ind/>
        <w:jc w:val="center"/>
        <w:rPr/>
      </w:pPr>
      <w:r/>
      <w:r/>
    </w:p>
    <w:p>
      <w:pPr>
        <w:pStyle w:val="874"/>
        <w:pBdr/>
        <w:spacing/>
        <w:ind/>
        <w:jc w:val="center"/>
        <w:rPr/>
      </w:pPr>
      <w:r>
        <w:rPr>
          <w:rFonts w:ascii="Times New Roman" w:hAnsi="Times New Roman" w:cs="Times New Roman"/>
          <w:b/>
          <w:sz w:val="24"/>
          <w:szCs w:val="24"/>
        </w:rPr>
        <w:t xml:space="preserve">Nilton Cesar Pereira Moreira</w:t>
      </w:r>
      <w:r/>
    </w:p>
    <w:p>
      <w:pPr>
        <w:pStyle w:val="874"/>
        <w:pBdr/>
        <w:spacing/>
        <w:ind/>
        <w:jc w:val="center"/>
        <w:rPr/>
      </w:pPr>
      <w:r>
        <w:rPr>
          <w:rFonts w:ascii="Times New Roman" w:hAnsi="Times New Roman" w:cs="Times New Roman"/>
          <w:sz w:val="24"/>
          <w:szCs w:val="24"/>
        </w:rPr>
        <w:t xml:space="preserve">Segundo Vice-Presidente</w:t>
      </w:r>
      <w:r/>
    </w:p>
    <w:p>
      <w:pPr>
        <w:pStyle w:val="874"/>
        <w:pBdr/>
        <w:spacing/>
        <w:ind/>
        <w:jc w:val="center"/>
        <w:rPr/>
      </w:pPr>
      <w:r/>
      <w:r/>
    </w:p>
    <w:p>
      <w:pPr>
        <w:pStyle w:val="874"/>
        <w:pBdr/>
        <w:spacing/>
        <w:ind/>
        <w:jc w:val="center"/>
        <w:rPr/>
      </w:pPr>
      <w:r/>
      <w:r/>
    </w:p>
    <w:p>
      <w:pPr>
        <w:pStyle w:val="874"/>
        <w:pBdr/>
        <w:spacing/>
        <w:ind/>
        <w:jc w:val="center"/>
        <w:rPr/>
      </w:pPr>
      <w:r>
        <w:rPr>
          <w:rFonts w:ascii="Times New Roman" w:hAnsi="Times New Roman" w:cs="Times New Roman"/>
          <w:b/>
          <w:bCs/>
          <w:sz w:val="24"/>
          <w:szCs w:val="24"/>
        </w:rPr>
        <w:t xml:space="preserve">Leandra Lopes</w:t>
      </w:r>
      <w:r/>
    </w:p>
    <w:p>
      <w:pPr>
        <w:pStyle w:val="874"/>
        <w:pBdr/>
        <w:spacing/>
        <w:ind/>
        <w:jc w:val="center"/>
        <w:rPr/>
      </w:pPr>
      <w:r>
        <w:rPr>
          <w:rFonts w:ascii="Times New Roman" w:hAnsi="Times New Roman" w:cs="Times New Roman"/>
          <w:sz w:val="24"/>
          <w:szCs w:val="24"/>
        </w:rPr>
        <w:t xml:space="preserve">Primeiro Secretário</w:t>
      </w:r>
      <w:r/>
    </w:p>
    <w:p>
      <w:pPr>
        <w:pStyle w:val="874"/>
        <w:pBdr/>
        <w:spacing/>
        <w:ind/>
        <w:jc w:val="center"/>
        <w:rPr/>
      </w:pPr>
      <w:r/>
      <w:r/>
    </w:p>
    <w:p>
      <w:pPr>
        <w:pStyle w:val="874"/>
        <w:pBdr/>
        <w:spacing/>
        <w:ind/>
        <w:jc w:val="center"/>
        <w:rPr/>
      </w:pPr>
      <w:r/>
      <w:r/>
    </w:p>
    <w:p>
      <w:pPr>
        <w:pStyle w:val="874"/>
        <w:pBdr/>
        <w:spacing/>
        <w:ind/>
        <w:jc w:val="center"/>
        <w:rPr/>
      </w:pPr>
      <w:r>
        <w:rPr>
          <w:rFonts w:ascii="Times New Roman" w:hAnsi="Times New Roman" w:cs="Times New Roman"/>
          <w:b/>
          <w:bCs/>
          <w:sz w:val="24"/>
          <w:szCs w:val="24"/>
        </w:rPr>
        <w:t xml:space="preserve">Jose Geraldo Jardim Filho</w:t>
      </w:r>
      <w:r/>
    </w:p>
    <w:p>
      <w:pPr>
        <w:pStyle w:val="874"/>
        <w:pBdr/>
        <w:spacing/>
        <w:ind/>
        <w:jc w:val="center"/>
        <w:rPr>
          <w:rFonts w:ascii="Times New Roman" w:hAnsi="Times New Roman" w:cs="Times New Roman"/>
          <w:sz w:val="24"/>
          <w:szCs w:val="24"/>
          <w:highlight w:val="none"/>
        </w:rPr>
      </w:pPr>
      <w:r>
        <w:rPr>
          <w:rFonts w:ascii="Times New Roman" w:hAnsi="Times New Roman" w:cs="Times New Roman"/>
          <w:sz w:val="24"/>
          <w:szCs w:val="24"/>
        </w:rPr>
        <w:t xml:space="preserve">Segundo Secretário</w:t>
      </w:r>
      <w:r>
        <w:rPr>
          <w:rFonts w:ascii="Times New Roman" w:hAnsi="Times New Roman" w:cs="Times New Roman"/>
          <w:sz w:val="24"/>
          <w:szCs w:val="24"/>
          <w:highlight w:val="none"/>
        </w:rPr>
      </w:r>
      <w:r>
        <w:rPr>
          <w:rFonts w:ascii="Times New Roman" w:hAnsi="Times New Roman" w:cs="Times New Roman"/>
          <w:sz w:val="24"/>
          <w:szCs w:val="24"/>
          <w:highlight w:val="none"/>
        </w:rPr>
      </w:r>
    </w:p>
    <w:sectPr>
      <w:headerReference w:type="default" r:id="rId9"/>
      <w:footnotePr/>
      <w:endnotePr/>
      <w:type w:val="nextPage"/>
      <w:pgSz w:h="16838" w:orient="portrait" w:w="11906"/>
      <w:pgMar w:top="1417" w:right="1134" w:bottom="1417" w:left="1701"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w:panose1 w:val="05000000000000000000"/>
  </w:font>
  <w:font w:name="Courier New">
    <w:panose1 w:val="02070309020205020404"/>
  </w:font>
  <w:font w:name="Symbol">
    <w:panose1 w:val="05050102010706020507"/>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spacing/>
      <w:ind/>
      <w:jc w:val="center"/>
      <w:rPr>
        <w:rFonts w:ascii="Calibri" w:hAnsi="Calibri" w:cs="Calibri"/>
        <w:color w:val="000000"/>
      </w:rPr>
    </w:pPr>
    <w:r>
      <w:rPr>
        <w:rFonts w:ascii="Calibri" w:hAnsi="Calibri" w:cs="Calibri"/>
        <w:color w:val="000000"/>
        <w:spacing w:val="26"/>
        <w:position w:val="10"/>
      </w:rPr>
    </w:r>
    <w:r>
      <w:rPr>
        <w:lang w:eastAsia="pt-BR"/>
      </w:rPr>
      <mc:AlternateContent>
        <mc:Choice Requires="wpg">
          <w:drawing>
            <wp:inline xmlns:wp="http://schemas.openxmlformats.org/drawingml/2006/wordprocessingDrawing" distT="0" distB="0" distL="0" distR="0">
              <wp:extent cx="4274820" cy="70104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130668858" name="image2.png"/>
                      <pic:cNvPicPr/>
                      <pic:nvPr/>
                    </pic:nvPicPr>
                    <pic:blipFill rotWithShape="1">
                      <a:blip r:embed="rId1"/>
                      <a:stretch/>
                    </pic:blipFill>
                    <pic:spPr bwMode="auto">
                      <a:xfrm rot="0" flipH="0" flipV="0">
                        <a:off x="0" y="0"/>
                        <a:ext cx="4274820" cy="701039"/>
                      </a:xfrm>
                      <a:prstGeom prst="rect">
                        <a:avLst/>
                      </a:prstGeom>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36.60pt;height:55.20pt;mso-wrap-distance-left:0.00pt;mso-wrap-distance-top:0.00pt;mso-wrap-distance-right:0.00pt;mso-wrap-distance-bottom:0.00pt;rotation:0;z-index:1;">
              <v:imagedata r:id="rId1" o:title=""/>
              <o:lock v:ext="edit" rotation="t"/>
            </v:shape>
          </w:pict>
        </mc:Fallback>
      </mc:AlternateContent>
    </w:r>
    <w:r>
      <w:rPr>
        <w:rFonts w:ascii="Calibri" w:hAnsi="Calibri" w:cs="Calibri"/>
        <w:color w:val="000000"/>
      </w:rPr>
    </w:r>
    <w:r>
      <w:rPr>
        <w:rFonts w:ascii="Calibri" w:hAnsi="Calibri" w:cs="Calibri"/>
        <w:color w:val="000000"/>
      </w:rPr>
    </w:r>
  </w:p>
  <w:p>
    <w:pPr>
      <w:pStyle w:val="883"/>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42FF6"/>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
    <w:nsid w:val="087946A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
    <w:nsid w:val="173E65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
    <w:nsid w:val="210E522E"/>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
    <w:nsid w:val="29D0391B"/>
    <w:lvl w:ilvl="0">
      <w:isLgl w:val="false"/>
      <w:lvlJc w:val="left"/>
      <w:lvlText w:val="%1"/>
      <w:numFmt w:val="upperRoman"/>
      <w:pPr>
        <w:pBdr/>
        <w:spacing/>
        <w:ind w:hanging="183" w:left="1737"/>
      </w:pPr>
      <w:rPr>
        <w:rFonts w:ascii="Times New Roman" w:hAnsi="Times New Roman" w:eastAsia="Times New Roman" w:cs="Times New Roman"/>
        <w:b w:val="0"/>
        <w:bCs w:val="0"/>
        <w:i/>
        <w:iCs/>
        <w:color w:val="000009"/>
        <w:spacing w:val="0"/>
        <w:sz w:val="24"/>
        <w:szCs w:val="24"/>
        <w:lang w:val="pt-PT" w:eastAsia="en-US" w:bidi="ar-SA"/>
      </w:rPr>
      <w:start w:val="1"/>
      <w:suff w:val="tab"/>
    </w:lvl>
    <w:lvl w:ilvl="1">
      <w:isLgl w:val="false"/>
      <w:lvlJc w:val="left"/>
      <w:lvlText w:val="•"/>
      <w:numFmt w:val="bullet"/>
      <w:pPr>
        <w:pBdr/>
        <w:spacing/>
        <w:ind w:hanging="183" w:left="2736"/>
      </w:pPr>
      <w:rPr>
        <w:lang w:val="pt-PT" w:eastAsia="en-US" w:bidi="ar-SA"/>
      </w:rPr>
      <w:start w:val="0"/>
      <w:suff w:val="tab"/>
    </w:lvl>
    <w:lvl w:ilvl="2">
      <w:isLgl w:val="false"/>
      <w:lvlJc w:val="left"/>
      <w:lvlText w:val="•"/>
      <w:numFmt w:val="bullet"/>
      <w:pPr>
        <w:pBdr/>
        <w:spacing/>
        <w:ind w:hanging="183" w:left="3733"/>
      </w:pPr>
      <w:rPr>
        <w:lang w:val="pt-PT" w:eastAsia="en-US" w:bidi="ar-SA"/>
      </w:rPr>
      <w:start w:val="0"/>
      <w:suff w:val="tab"/>
    </w:lvl>
    <w:lvl w:ilvl="3">
      <w:isLgl w:val="false"/>
      <w:lvlJc w:val="left"/>
      <w:lvlText w:val="•"/>
      <w:numFmt w:val="bullet"/>
      <w:pPr>
        <w:pBdr/>
        <w:spacing/>
        <w:ind w:hanging="183" w:left="4730"/>
      </w:pPr>
      <w:rPr>
        <w:lang w:val="pt-PT" w:eastAsia="en-US" w:bidi="ar-SA"/>
      </w:rPr>
      <w:start w:val="0"/>
      <w:suff w:val="tab"/>
    </w:lvl>
    <w:lvl w:ilvl="4">
      <w:isLgl w:val="false"/>
      <w:lvlJc w:val="left"/>
      <w:lvlText w:val="•"/>
      <w:numFmt w:val="bullet"/>
      <w:pPr>
        <w:pBdr/>
        <w:spacing/>
        <w:ind w:hanging="183" w:left="5727"/>
      </w:pPr>
      <w:rPr>
        <w:lang w:val="pt-PT" w:eastAsia="en-US" w:bidi="ar-SA"/>
      </w:rPr>
      <w:start w:val="0"/>
      <w:suff w:val="tab"/>
    </w:lvl>
    <w:lvl w:ilvl="5">
      <w:isLgl w:val="false"/>
      <w:lvlJc w:val="left"/>
      <w:lvlText w:val="•"/>
      <w:numFmt w:val="bullet"/>
      <w:pPr>
        <w:pBdr/>
        <w:spacing/>
        <w:ind w:hanging="183" w:left="6724"/>
      </w:pPr>
      <w:rPr>
        <w:lang w:val="pt-PT" w:eastAsia="en-US" w:bidi="ar-SA"/>
      </w:rPr>
      <w:start w:val="0"/>
      <w:suff w:val="tab"/>
    </w:lvl>
    <w:lvl w:ilvl="6">
      <w:isLgl w:val="false"/>
      <w:lvlJc w:val="left"/>
      <w:lvlText w:val="•"/>
      <w:numFmt w:val="bullet"/>
      <w:pPr>
        <w:pBdr/>
        <w:spacing/>
        <w:ind w:hanging="183" w:left="7721"/>
      </w:pPr>
      <w:rPr>
        <w:lang w:val="pt-PT" w:eastAsia="en-US" w:bidi="ar-SA"/>
      </w:rPr>
      <w:start w:val="0"/>
      <w:suff w:val="tab"/>
    </w:lvl>
    <w:lvl w:ilvl="7">
      <w:isLgl w:val="false"/>
      <w:lvlJc w:val="left"/>
      <w:lvlText w:val="•"/>
      <w:numFmt w:val="bullet"/>
      <w:pPr>
        <w:pBdr/>
        <w:spacing/>
        <w:ind w:hanging="183" w:left="8718"/>
      </w:pPr>
      <w:rPr>
        <w:lang w:val="pt-PT" w:eastAsia="en-US" w:bidi="ar-SA"/>
      </w:rPr>
      <w:start w:val="0"/>
      <w:suff w:val="tab"/>
    </w:lvl>
    <w:lvl w:ilvl="8">
      <w:isLgl w:val="false"/>
      <w:lvlJc w:val="left"/>
      <w:lvlText w:val="•"/>
      <w:numFmt w:val="bullet"/>
      <w:pPr>
        <w:pBdr/>
        <w:spacing/>
        <w:ind w:hanging="183" w:left="9715"/>
      </w:pPr>
      <w:rPr>
        <w:lang w:val="pt-PT" w:eastAsia="en-US" w:bidi="ar-SA"/>
      </w:rPr>
      <w:start w:val="0"/>
      <w:suff w:val="tab"/>
    </w:lvl>
  </w:abstractNum>
  <w:abstractNum w:abstractNumId="5">
    <w:nsid w:val="2D585533"/>
    <w:lvl w:ilvl="0">
      <w:isLgl w:val="false"/>
      <w:lvlJc w:val="left"/>
      <w:lvlText w:val="%1"/>
      <w:numFmt w:val="upperRoman"/>
      <w:pPr>
        <w:pBdr/>
        <w:spacing/>
        <w:ind w:hanging="183" w:left="1737"/>
      </w:pPr>
      <w:rPr>
        <w:rFonts w:ascii="Times New Roman" w:hAnsi="Times New Roman" w:eastAsia="Times New Roman" w:cs="Times New Roman"/>
        <w:b w:val="0"/>
        <w:bCs w:val="0"/>
        <w:i/>
        <w:iCs/>
        <w:color w:val="000009"/>
        <w:spacing w:val="0"/>
        <w:sz w:val="24"/>
        <w:szCs w:val="24"/>
        <w:lang w:val="pt-PT" w:eastAsia="en-US" w:bidi="ar-SA"/>
      </w:rPr>
      <w:start w:val="1"/>
      <w:suff w:val="tab"/>
    </w:lvl>
    <w:lvl w:ilvl="1">
      <w:isLgl w:val="false"/>
      <w:lvlJc w:val="left"/>
      <w:lvlText w:val="•"/>
      <w:numFmt w:val="bullet"/>
      <w:pPr>
        <w:pBdr/>
        <w:spacing/>
        <w:ind w:hanging="183" w:left="2736"/>
      </w:pPr>
      <w:rPr>
        <w:lang w:val="pt-PT" w:eastAsia="en-US" w:bidi="ar-SA"/>
      </w:rPr>
      <w:start w:val="0"/>
      <w:suff w:val="tab"/>
    </w:lvl>
    <w:lvl w:ilvl="2">
      <w:isLgl w:val="false"/>
      <w:lvlJc w:val="left"/>
      <w:lvlText w:val="•"/>
      <w:numFmt w:val="bullet"/>
      <w:pPr>
        <w:pBdr/>
        <w:spacing/>
        <w:ind w:hanging="183" w:left="3733"/>
      </w:pPr>
      <w:rPr>
        <w:lang w:val="pt-PT" w:eastAsia="en-US" w:bidi="ar-SA"/>
      </w:rPr>
      <w:start w:val="0"/>
      <w:suff w:val="tab"/>
    </w:lvl>
    <w:lvl w:ilvl="3">
      <w:isLgl w:val="false"/>
      <w:lvlJc w:val="left"/>
      <w:lvlText w:val="•"/>
      <w:numFmt w:val="bullet"/>
      <w:pPr>
        <w:pBdr/>
        <w:spacing/>
        <w:ind w:hanging="183" w:left="4730"/>
      </w:pPr>
      <w:rPr>
        <w:lang w:val="pt-PT" w:eastAsia="en-US" w:bidi="ar-SA"/>
      </w:rPr>
      <w:start w:val="0"/>
      <w:suff w:val="tab"/>
    </w:lvl>
    <w:lvl w:ilvl="4">
      <w:isLgl w:val="false"/>
      <w:lvlJc w:val="left"/>
      <w:lvlText w:val="•"/>
      <w:numFmt w:val="bullet"/>
      <w:pPr>
        <w:pBdr/>
        <w:spacing/>
        <w:ind w:hanging="183" w:left="5727"/>
      </w:pPr>
      <w:rPr>
        <w:lang w:val="pt-PT" w:eastAsia="en-US" w:bidi="ar-SA"/>
      </w:rPr>
      <w:start w:val="0"/>
      <w:suff w:val="tab"/>
    </w:lvl>
    <w:lvl w:ilvl="5">
      <w:isLgl w:val="false"/>
      <w:lvlJc w:val="left"/>
      <w:lvlText w:val="•"/>
      <w:numFmt w:val="bullet"/>
      <w:pPr>
        <w:pBdr/>
        <w:spacing/>
        <w:ind w:hanging="183" w:left="6724"/>
      </w:pPr>
      <w:rPr>
        <w:lang w:val="pt-PT" w:eastAsia="en-US" w:bidi="ar-SA"/>
      </w:rPr>
      <w:start w:val="0"/>
      <w:suff w:val="tab"/>
    </w:lvl>
    <w:lvl w:ilvl="6">
      <w:isLgl w:val="false"/>
      <w:lvlJc w:val="left"/>
      <w:lvlText w:val="•"/>
      <w:numFmt w:val="bullet"/>
      <w:pPr>
        <w:pBdr/>
        <w:spacing/>
        <w:ind w:hanging="183" w:left="7721"/>
      </w:pPr>
      <w:rPr>
        <w:lang w:val="pt-PT" w:eastAsia="en-US" w:bidi="ar-SA"/>
      </w:rPr>
      <w:start w:val="0"/>
      <w:suff w:val="tab"/>
    </w:lvl>
    <w:lvl w:ilvl="7">
      <w:isLgl w:val="false"/>
      <w:lvlJc w:val="left"/>
      <w:lvlText w:val="•"/>
      <w:numFmt w:val="bullet"/>
      <w:pPr>
        <w:pBdr/>
        <w:spacing/>
        <w:ind w:hanging="183" w:left="8718"/>
      </w:pPr>
      <w:rPr>
        <w:lang w:val="pt-PT" w:eastAsia="en-US" w:bidi="ar-SA"/>
      </w:rPr>
      <w:start w:val="0"/>
      <w:suff w:val="tab"/>
    </w:lvl>
    <w:lvl w:ilvl="8">
      <w:isLgl w:val="false"/>
      <w:lvlJc w:val="left"/>
      <w:lvlText w:val="•"/>
      <w:numFmt w:val="bullet"/>
      <w:pPr>
        <w:pBdr/>
        <w:spacing/>
        <w:ind w:hanging="183" w:left="9715"/>
      </w:pPr>
      <w:rPr>
        <w:lang w:val="pt-PT" w:eastAsia="en-US" w:bidi="ar-SA"/>
      </w:rPr>
      <w:start w:val="0"/>
      <w:suff w:val="tab"/>
    </w:lvl>
  </w:abstractNum>
  <w:abstractNum w:abstractNumId="6">
    <w:nsid w:val="2FBE3E7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nsid w:val="33045E7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
    <w:nsid w:val="3762787C"/>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
    <w:nsid w:val="376B4EF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0">
    <w:nsid w:val="3D871FE4"/>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nsid w:val="3F6E16D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2">
    <w:nsid w:val="40BA617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3">
    <w:nsid w:val="448A2138"/>
    <w:lvl w:ilvl="0">
      <w:isLgl w:val="false"/>
      <w:lvlJc w:val="left"/>
      <w:lvlText w:val="%1."/>
      <w:numFmt w:val="decimal"/>
      <w:pPr>
        <w:pBdr/>
        <w:spacing/>
        <w:ind w:hanging="360" w:left="720"/>
      </w:pPr>
      <w:rPr/>
      <w:start w:val="1"/>
      <w:suff w:val="tab"/>
    </w:lvl>
    <w:lvl w:ilvl="1">
      <w:isLgl w:val="false"/>
      <w:lvlJc w:val="righ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4B17025A"/>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5">
    <w:nsid w:val="4E14111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6">
    <w:nsid w:val="528748E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7">
    <w:nsid w:val="5A081D7A"/>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8">
    <w:nsid w:val="5E79042C"/>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9">
    <w:nsid w:val="5F4B7EF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0">
    <w:nsid w:val="64C52C5C"/>
    <w:lvl w:ilvl="0">
      <w:isLgl w:val="false"/>
      <w:lvlJc w:val="left"/>
      <w:lvlText w:val=""/>
      <w:numFmt w:val="decimal"/>
      <w:pPr>
        <w:pBdr/>
        <w:spacing/>
        <w:ind w:firstLine="0" w:left="0"/>
      </w:pPr>
      <w:rPr/>
      <w:start w:val="1"/>
      <w:suff w:val="nothing"/>
    </w:lvl>
    <w:lvl w:ilvl="1">
      <w:isLgl w:val="false"/>
      <w:lvlJc w:val="left"/>
      <w:lvlText w:val=""/>
      <w:numFmt w:val="decimal"/>
      <w:pPr>
        <w:pBdr/>
        <w:spacing/>
        <w:ind w:firstLine="0" w:left="0"/>
      </w:pPr>
      <w:pStyle w:val="1037"/>
      <w:rPr/>
      <w:start w:val="1"/>
      <w:suff w:val="nothing"/>
    </w:lvl>
    <w:lvl w:ilvl="2">
      <w:isLgl w:val="false"/>
      <w:lvlJc w:val="left"/>
      <w:lvlText w:val=""/>
      <w:numFmt w:val="decimal"/>
      <w:pPr>
        <w:pBdr/>
        <w:spacing/>
        <w:ind w:firstLine="0" w:left="0"/>
      </w:pPr>
      <w:rPr/>
      <w:start w:val="1"/>
      <w:suff w:val="nothing"/>
    </w:lvl>
    <w:lvl w:ilvl="3">
      <w:isLgl w:val="false"/>
      <w:lvlJc w:val="left"/>
      <w:lvlText w:val=""/>
      <w:numFmt w:val="decimal"/>
      <w:pPr>
        <w:pBdr/>
        <w:spacing/>
        <w:ind w:firstLine="0" w:left="0"/>
      </w:pPr>
      <w:rPr/>
      <w:start w:val="1"/>
      <w:suff w:val="nothing"/>
    </w:lvl>
    <w:lvl w:ilvl="4">
      <w:isLgl w:val="false"/>
      <w:lvlJc w:val="left"/>
      <w:lvlText w:val=""/>
      <w:numFmt w:val="decimal"/>
      <w:pPr>
        <w:pBdr/>
        <w:spacing/>
        <w:ind w:firstLine="0" w:left="0"/>
      </w:pPr>
      <w:rPr/>
      <w:start w:val="1"/>
      <w:suff w:val="nothing"/>
    </w:lvl>
    <w:lvl w:ilvl="5">
      <w:isLgl w:val="false"/>
      <w:lvlJc w:val="left"/>
      <w:lvlText w:val=""/>
      <w:numFmt w:val="decimal"/>
      <w:pPr>
        <w:pBdr/>
        <w:spacing/>
        <w:ind w:firstLine="0" w:left="0"/>
      </w:pPr>
      <w:rPr/>
      <w:start w:val="1"/>
      <w:suff w:val="nothing"/>
    </w:lvl>
    <w:lvl w:ilvl="6">
      <w:isLgl w:val="false"/>
      <w:lvlJc w:val="left"/>
      <w:lvlText w:val=""/>
      <w:numFmt w:val="decimal"/>
      <w:pPr>
        <w:pBdr/>
        <w:spacing/>
        <w:ind w:firstLine="0" w:left="0"/>
      </w:pPr>
      <w:rPr/>
      <w:start w:val="1"/>
      <w:suff w:val="nothing"/>
    </w:lvl>
    <w:lvl w:ilvl="7">
      <w:isLgl w:val="false"/>
      <w:lvlJc w:val="left"/>
      <w:lvlText w:val=""/>
      <w:numFmt w:val="decimal"/>
      <w:pPr>
        <w:pBdr/>
        <w:spacing/>
        <w:ind w:firstLine="0" w:left="0"/>
      </w:pPr>
      <w:rPr/>
      <w:start w:val="1"/>
      <w:suff w:val="nothing"/>
    </w:lvl>
    <w:lvl w:ilvl="8">
      <w:isLgl w:val="false"/>
      <w:lvlJc w:val="left"/>
      <w:lvlText w:val=""/>
      <w:numFmt w:val="decimal"/>
      <w:pPr>
        <w:pBdr/>
        <w:spacing/>
        <w:ind w:firstLine="0" w:left="0"/>
      </w:pPr>
      <w:rPr/>
      <w:start w:val="1"/>
      <w:suff w:val="nothing"/>
    </w:lvl>
  </w:abstractNum>
  <w:abstractNum w:abstractNumId="21">
    <w:nsid w:val="6FE16795"/>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2">
    <w:nsid w:val="70955E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3">
    <w:nsid w:val="76A32E6A"/>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4">
    <w:nsid w:val="7B6C275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5">
    <w:nsid w:val="6AFE5DA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26">
    <w:nsid w:val="61A2070F"/>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27">
    <w:nsid w:val="4C4B208E"/>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28">
    <w:nsid w:val="446970D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29">
    <w:nsid w:val="1B47DB2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0">
    <w:nsid w:val="2335A0F8"/>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1">
    <w:nsid w:val="57C443DF"/>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2">
    <w:nsid w:val="62D2C32C"/>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3">
    <w:nsid w:val="12E1AC4F"/>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4">
    <w:nsid w:val="787DD91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5">
    <w:nsid w:val="253C089F"/>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6">
    <w:nsid w:val="7125B158"/>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7">
    <w:nsid w:val="2C54D6F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8">
    <w:nsid w:val="6F675E6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39">
    <w:nsid w:val="557D552C"/>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40">
    <w:nsid w:val="6AF28BA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41">
    <w:nsid w:val="5E1AA5C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42">
    <w:nsid w:val="658559A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43">
    <w:nsid w:val="1A60A64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44">
    <w:nsid w:val="1169F3DD"/>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45">
    <w:nsid w:val="752E55FC"/>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46">
    <w:nsid w:val="4B9B275F"/>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47">
    <w:nsid w:val="0B6F0D6B"/>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48">
    <w:nsid w:val="5A722335"/>
    <w:lvl w:ilvl="0">
      <w:isLgl w:val="false"/>
      <w:lvlJc w:val="right"/>
      <w:lvlText w:val="%1."/>
      <w:numFmt w:val="decimal"/>
      <w:pPr>
        <w:pBdr/>
        <w:spacing/>
        <w:ind w:hanging="360" w:left="709"/>
      </w:pPr>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36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36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360" w:left="6469"/>
      </w:pPr>
      <w:rPr/>
      <w:start w:val="1"/>
      <w:suff w:val="tab"/>
    </w:lvl>
  </w:abstractNum>
  <w:abstractNum w:abstractNumId="49">
    <w:nsid w:val="76F32E7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50">
    <w:nsid w:val="1BB2786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51">
    <w:nsid w:val="102BD9FA"/>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52">
    <w:nsid w:val="7D661AED"/>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53">
    <w:nsid w:val="3D199AA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54">
    <w:nsid w:val="3638DDEC"/>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55">
    <w:nsid w:val="47E7379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56">
    <w:nsid w:val="57685E4D"/>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57">
    <w:nsid w:val="2557FA6B"/>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58">
    <w:nsid w:val="51AFB14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59">
    <w:nsid w:val="0783E9E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60">
    <w:nsid w:val="28275FFC"/>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61">
    <w:nsid w:val="0226C65B"/>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62">
    <w:nsid w:val="1A73F66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63">
    <w:nsid w:val="22E3527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64">
    <w:nsid w:val="4A735BE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65">
    <w:nsid w:val="0FED21CE"/>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66">
    <w:nsid w:val="1DE272B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67">
    <w:nsid w:val="71623DC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68">
    <w:nsid w:val="0A9179CC"/>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69">
    <w:nsid w:val="18EA85C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70">
    <w:nsid w:val="1003D50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71">
    <w:nsid w:val="5DC95EAA"/>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72">
    <w:nsid w:val="0D357B8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73">
    <w:nsid w:val="6BA3637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74">
    <w:nsid w:val="3FAC56B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75">
    <w:nsid w:val="52F6BD0D"/>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76">
    <w:nsid w:val="0AE754CF"/>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77">
    <w:nsid w:val="6AC87E6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78">
    <w:nsid w:val="194F46F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79">
    <w:nsid w:val="19D61AD4"/>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80">
    <w:nsid w:val="61208BC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81">
    <w:nsid w:val="67B26D3E"/>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82">
    <w:nsid w:val="4D82549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83">
    <w:nsid w:val="71F83FB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84">
    <w:nsid w:val="5A5758CC"/>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85">
    <w:nsid w:val="4AB5C1C2"/>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86">
    <w:nsid w:val="4167A4A3"/>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87">
    <w:nsid w:val="582574A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88">
    <w:nsid w:val="061B773E"/>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89">
    <w:nsid w:val="5ADB9C09"/>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90">
    <w:nsid w:val="0C8D35A0"/>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91">
    <w:nsid w:val="491F043E"/>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92">
    <w:nsid w:val="2750DCC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93">
    <w:nsid w:val="7197803F"/>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94">
    <w:nsid w:val="1B96869A"/>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95">
    <w:nsid w:val="41019D5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96">
    <w:nsid w:val="4A7ABF21"/>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97">
    <w:nsid w:val="3E0AA16A"/>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98">
    <w:nsid w:val="5FC2685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99">
    <w:nsid w:val="0E3805DF"/>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00">
    <w:nsid w:val="7F3AE05D"/>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13"/>
  </w:num>
  <w:num w:numId="2">
    <w:abstractNumId w:val="20"/>
  </w:num>
  <w:num w:numId="3">
    <w:abstractNumId w:val="10"/>
  </w:num>
  <w:num w:numId="4">
    <w:abstractNumId w:val="1"/>
  </w:num>
  <w:num w:numId="5">
    <w:abstractNumId w:val="4"/>
  </w:num>
  <w:num w:numId="6">
    <w:abstractNumId w:val="5"/>
  </w:num>
  <w:num w:numId="7">
    <w:abstractNumId w:val="15"/>
  </w:num>
  <w:num w:numId="8">
    <w:abstractNumId w:val="22"/>
  </w:num>
  <w:num w:numId="9">
    <w:abstractNumId w:val="19"/>
  </w:num>
  <w:num w:numId="10">
    <w:abstractNumId w:val="12"/>
  </w:num>
  <w:num w:numId="11">
    <w:abstractNumId w:val="2"/>
  </w:num>
  <w:num w:numId="12">
    <w:abstractNumId w:val="24"/>
  </w:num>
  <w:num w:numId="13">
    <w:abstractNumId w:val="14"/>
  </w:num>
  <w:num w:numId="14">
    <w:abstractNumId w:val="9"/>
  </w:num>
  <w:num w:numId="15">
    <w:abstractNumId w:val="3"/>
  </w:num>
  <w:num w:numId="16">
    <w:abstractNumId w:val="6"/>
  </w:num>
  <w:num w:numId="17">
    <w:abstractNumId w:val="7"/>
  </w:num>
  <w:num w:numId="18">
    <w:abstractNumId w:val="18"/>
  </w:num>
  <w:num w:numId="19">
    <w:abstractNumId w:val="16"/>
  </w:num>
  <w:num w:numId="20">
    <w:abstractNumId w:val="23"/>
  </w:num>
  <w:num w:numId="21">
    <w:abstractNumId w:val="0"/>
  </w:num>
  <w:num w:numId="22">
    <w:abstractNumId w:val="21"/>
  </w:num>
  <w:num w:numId="23">
    <w:abstractNumId w:val="8"/>
  </w:num>
  <w:num w:numId="24">
    <w:abstractNumId w:val="17"/>
  </w:num>
  <w:num w:numId="25">
    <w:abstractNumId w:val="11"/>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default="1">
    <w:name w:val="Normal"/>
    <w:qFormat/>
    <w:pPr>
      <w:pBdr/>
      <w:spacing/>
      <w:ind/>
    </w:pPr>
  </w:style>
  <w:style w:type="paragraph" w:styleId="828">
    <w:name w:val="Heading 1"/>
    <w:basedOn w:val="827"/>
    <w:next w:val="827"/>
    <w:link w:val="864"/>
    <w:uiPriority w:val="9"/>
    <w:qFormat/>
    <w:pPr>
      <w:keepNext w:val="true"/>
      <w:keepLines w:val="true"/>
      <w:pBdr/>
      <w:spacing w:after="200" w:before="480"/>
      <w:ind/>
      <w:outlineLvl w:val="0"/>
    </w:pPr>
    <w:rPr>
      <w:rFonts w:ascii="Arial" w:hAnsi="Arial" w:eastAsia="Arial" w:cs="Arial"/>
      <w:sz w:val="40"/>
      <w:szCs w:val="40"/>
    </w:rPr>
  </w:style>
  <w:style w:type="paragraph" w:styleId="829">
    <w:name w:val="Heading 2"/>
    <w:basedOn w:val="827"/>
    <w:next w:val="827"/>
    <w:link w:val="865"/>
    <w:uiPriority w:val="9"/>
    <w:unhideWhenUsed/>
    <w:qFormat/>
    <w:pPr>
      <w:keepNext w:val="true"/>
      <w:keepLines w:val="true"/>
      <w:pBdr/>
      <w:spacing w:after="200" w:before="360"/>
      <w:ind/>
      <w:outlineLvl w:val="1"/>
    </w:pPr>
    <w:rPr>
      <w:rFonts w:ascii="Arial" w:hAnsi="Arial" w:eastAsia="Arial" w:cs="Arial"/>
      <w:sz w:val="34"/>
    </w:rPr>
  </w:style>
  <w:style w:type="paragraph" w:styleId="830">
    <w:name w:val="Heading 3"/>
    <w:basedOn w:val="827"/>
    <w:next w:val="827"/>
    <w:link w:val="866"/>
    <w:uiPriority w:val="9"/>
    <w:unhideWhenUsed/>
    <w:qFormat/>
    <w:pPr>
      <w:keepNext w:val="true"/>
      <w:keepLines w:val="true"/>
      <w:pBdr/>
      <w:spacing w:after="200" w:before="320"/>
      <w:ind/>
      <w:outlineLvl w:val="2"/>
    </w:pPr>
    <w:rPr>
      <w:rFonts w:ascii="Arial" w:hAnsi="Arial" w:eastAsia="Arial" w:cs="Arial"/>
      <w:sz w:val="30"/>
      <w:szCs w:val="30"/>
    </w:rPr>
  </w:style>
  <w:style w:type="paragraph" w:styleId="831">
    <w:name w:val="Heading 4"/>
    <w:basedOn w:val="827"/>
    <w:next w:val="827"/>
    <w:link w:val="867"/>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832">
    <w:name w:val="Heading 5"/>
    <w:basedOn w:val="827"/>
    <w:next w:val="827"/>
    <w:link w:val="868"/>
    <w:uiPriority w:val="9"/>
    <w:unhideWhenUsed/>
    <w:qFormat/>
    <w:pPr>
      <w:keepNext w:val="true"/>
      <w:keepLines w:val="true"/>
      <w:pBdr/>
      <w:spacing w:after="200" w:before="320"/>
      <w:ind/>
      <w:outlineLvl w:val="4"/>
    </w:pPr>
    <w:rPr>
      <w:rFonts w:ascii="Arial" w:hAnsi="Arial" w:eastAsia="Arial" w:cs="Arial"/>
      <w:b/>
      <w:bCs/>
      <w:sz w:val="24"/>
      <w:szCs w:val="24"/>
    </w:rPr>
  </w:style>
  <w:style w:type="paragraph" w:styleId="833">
    <w:name w:val="Heading 6"/>
    <w:basedOn w:val="827"/>
    <w:next w:val="827"/>
    <w:link w:val="869"/>
    <w:uiPriority w:val="9"/>
    <w:unhideWhenUsed/>
    <w:qFormat/>
    <w:pPr>
      <w:keepNext w:val="true"/>
      <w:keepLines w:val="true"/>
      <w:pBdr/>
      <w:spacing w:after="200" w:before="320"/>
      <w:ind/>
      <w:outlineLvl w:val="5"/>
    </w:pPr>
    <w:rPr>
      <w:rFonts w:ascii="Arial" w:hAnsi="Arial" w:eastAsia="Arial" w:cs="Arial"/>
      <w:b/>
      <w:bCs/>
    </w:rPr>
  </w:style>
  <w:style w:type="paragraph" w:styleId="834">
    <w:name w:val="Heading 7"/>
    <w:basedOn w:val="827"/>
    <w:next w:val="827"/>
    <w:link w:val="870"/>
    <w:uiPriority w:val="9"/>
    <w:unhideWhenUsed/>
    <w:qFormat/>
    <w:pPr>
      <w:keepNext w:val="true"/>
      <w:keepLines w:val="true"/>
      <w:pBdr/>
      <w:spacing w:after="200" w:before="320"/>
      <w:ind/>
      <w:outlineLvl w:val="6"/>
    </w:pPr>
    <w:rPr>
      <w:rFonts w:ascii="Arial" w:hAnsi="Arial" w:eastAsia="Arial" w:cs="Arial"/>
      <w:b/>
      <w:bCs/>
      <w:i/>
      <w:iCs/>
    </w:rPr>
  </w:style>
  <w:style w:type="paragraph" w:styleId="835">
    <w:name w:val="Heading 8"/>
    <w:basedOn w:val="827"/>
    <w:next w:val="827"/>
    <w:link w:val="871"/>
    <w:uiPriority w:val="9"/>
    <w:unhideWhenUsed/>
    <w:qFormat/>
    <w:pPr>
      <w:keepNext w:val="true"/>
      <w:keepLines w:val="true"/>
      <w:pBdr/>
      <w:spacing w:after="200" w:before="320"/>
      <w:ind/>
      <w:outlineLvl w:val="7"/>
    </w:pPr>
    <w:rPr>
      <w:rFonts w:ascii="Arial" w:hAnsi="Arial" w:eastAsia="Arial" w:cs="Arial"/>
      <w:i/>
      <w:iCs/>
    </w:rPr>
  </w:style>
  <w:style w:type="paragraph" w:styleId="836">
    <w:name w:val="Heading 9"/>
    <w:basedOn w:val="827"/>
    <w:next w:val="827"/>
    <w:link w:val="872"/>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837" w:default="1">
    <w:name w:val="Default Paragraph Font"/>
    <w:uiPriority w:val="1"/>
    <w:unhideWhenUsed/>
    <w:pPr>
      <w:pBdr/>
      <w:spacing/>
      <w:ind/>
    </w:pPr>
  </w:style>
  <w:style w:type="table" w:styleId="83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39" w:default="1">
    <w:name w:val="No List"/>
    <w:uiPriority w:val="99"/>
    <w:semiHidden/>
    <w:unhideWhenUsed/>
    <w:pPr>
      <w:pBdr/>
      <w:spacing/>
      <w:ind/>
    </w:pPr>
  </w:style>
  <w:style w:type="character" w:styleId="840">
    <w:name w:val="Intense Emphasis"/>
    <w:basedOn w:val="837"/>
    <w:uiPriority w:val="21"/>
    <w:qFormat/>
    <w:pPr>
      <w:pBdr/>
      <w:spacing/>
      <w:ind/>
    </w:pPr>
    <w:rPr>
      <w:i/>
      <w:iCs/>
      <w:color w:val="2e74b5" w:themeColor="accent1" w:themeShade="BF"/>
    </w:rPr>
  </w:style>
  <w:style w:type="character" w:styleId="841">
    <w:name w:val="Intense Reference"/>
    <w:basedOn w:val="837"/>
    <w:uiPriority w:val="32"/>
    <w:qFormat/>
    <w:pPr>
      <w:pBdr/>
      <w:spacing/>
      <w:ind/>
    </w:pPr>
    <w:rPr>
      <w:b/>
      <w:bCs/>
      <w:smallCaps/>
      <w:color w:val="2e74b5" w:themeColor="accent1" w:themeShade="BF"/>
      <w:spacing w:val="5"/>
    </w:rPr>
  </w:style>
  <w:style w:type="character" w:styleId="842">
    <w:name w:val="Subtle Emphasis"/>
    <w:basedOn w:val="837"/>
    <w:uiPriority w:val="19"/>
    <w:qFormat/>
    <w:pPr>
      <w:pBdr/>
      <w:spacing/>
      <w:ind/>
    </w:pPr>
    <w:rPr>
      <w:i/>
      <w:iCs/>
      <w:color w:val="404040" w:themeColor="text1" w:themeTint="BF"/>
    </w:rPr>
  </w:style>
  <w:style w:type="character" w:styleId="843">
    <w:name w:val="Subtle Reference"/>
    <w:basedOn w:val="837"/>
    <w:uiPriority w:val="31"/>
    <w:qFormat/>
    <w:pPr>
      <w:pBdr/>
      <w:spacing/>
      <w:ind/>
    </w:pPr>
    <w:rPr>
      <w:smallCaps/>
      <w:color w:val="5a5a5a" w:themeColor="text1" w:themeTint="A5"/>
    </w:rPr>
  </w:style>
  <w:style w:type="character" w:styleId="844">
    <w:name w:val="Book Title"/>
    <w:basedOn w:val="837"/>
    <w:uiPriority w:val="33"/>
    <w:qFormat/>
    <w:pPr>
      <w:pBdr/>
      <w:spacing/>
      <w:ind/>
    </w:pPr>
    <w:rPr>
      <w:b/>
      <w:bCs/>
      <w:i/>
      <w:iCs/>
      <w:spacing w:val="5"/>
    </w:rPr>
  </w:style>
  <w:style w:type="character" w:styleId="845">
    <w:name w:val="FollowedHyperlink"/>
    <w:basedOn w:val="837"/>
    <w:uiPriority w:val="99"/>
    <w:semiHidden/>
    <w:unhideWhenUsed/>
    <w:pPr>
      <w:pBdr/>
      <w:spacing/>
      <w:ind/>
    </w:pPr>
    <w:rPr>
      <w:color w:val="954f72" w:themeColor="followedHyperlink"/>
      <w:u w:val="single"/>
    </w:rPr>
  </w:style>
  <w:style w:type="character" w:styleId="846">
    <w:name w:val="Placeholder Text"/>
    <w:basedOn w:val="837"/>
    <w:uiPriority w:val="99"/>
    <w:semiHidden/>
    <w:pPr>
      <w:pBdr/>
      <w:spacing/>
      <w:ind/>
    </w:pPr>
    <w:rPr>
      <w:color w:val="666666"/>
    </w:rPr>
  </w:style>
  <w:style w:type="character" w:styleId="847" w:customStyle="1">
    <w:name w:val="Heading 1 Char"/>
    <w:basedOn w:val="837"/>
    <w:uiPriority w:val="9"/>
    <w:pPr>
      <w:pBdr/>
      <w:spacing/>
      <w:ind/>
    </w:pPr>
    <w:rPr>
      <w:rFonts w:ascii="Arial" w:hAnsi="Arial" w:eastAsia="Arial" w:cs="Arial"/>
      <w:sz w:val="40"/>
      <w:szCs w:val="40"/>
    </w:rPr>
  </w:style>
  <w:style w:type="character" w:styleId="848" w:customStyle="1">
    <w:name w:val="Heading 2 Char"/>
    <w:basedOn w:val="837"/>
    <w:uiPriority w:val="9"/>
    <w:pPr>
      <w:pBdr/>
      <w:spacing/>
      <w:ind/>
    </w:pPr>
    <w:rPr>
      <w:rFonts w:ascii="Arial" w:hAnsi="Arial" w:eastAsia="Arial" w:cs="Arial"/>
      <w:sz w:val="34"/>
    </w:rPr>
  </w:style>
  <w:style w:type="character" w:styleId="849" w:customStyle="1">
    <w:name w:val="Heading 3 Char"/>
    <w:basedOn w:val="837"/>
    <w:uiPriority w:val="9"/>
    <w:pPr>
      <w:pBdr/>
      <w:spacing/>
      <w:ind/>
    </w:pPr>
    <w:rPr>
      <w:rFonts w:ascii="Arial" w:hAnsi="Arial" w:eastAsia="Arial" w:cs="Arial"/>
      <w:sz w:val="30"/>
      <w:szCs w:val="30"/>
    </w:rPr>
  </w:style>
  <w:style w:type="character" w:styleId="850" w:customStyle="1">
    <w:name w:val="Heading 4 Char"/>
    <w:basedOn w:val="837"/>
    <w:uiPriority w:val="9"/>
    <w:pPr>
      <w:pBdr/>
      <w:spacing/>
      <w:ind/>
    </w:pPr>
    <w:rPr>
      <w:rFonts w:ascii="Arial" w:hAnsi="Arial" w:eastAsia="Arial" w:cs="Arial"/>
      <w:b/>
      <w:bCs/>
      <w:sz w:val="26"/>
      <w:szCs w:val="26"/>
    </w:rPr>
  </w:style>
  <w:style w:type="character" w:styleId="851" w:customStyle="1">
    <w:name w:val="Heading 5 Char"/>
    <w:basedOn w:val="837"/>
    <w:uiPriority w:val="9"/>
    <w:pPr>
      <w:pBdr/>
      <w:spacing/>
      <w:ind/>
    </w:pPr>
    <w:rPr>
      <w:rFonts w:ascii="Arial" w:hAnsi="Arial" w:eastAsia="Arial" w:cs="Arial"/>
      <w:b/>
      <w:bCs/>
      <w:sz w:val="24"/>
      <w:szCs w:val="24"/>
    </w:rPr>
  </w:style>
  <w:style w:type="character" w:styleId="852" w:customStyle="1">
    <w:name w:val="Heading 6 Char"/>
    <w:basedOn w:val="837"/>
    <w:uiPriority w:val="9"/>
    <w:pPr>
      <w:pBdr/>
      <w:spacing/>
      <w:ind/>
    </w:pPr>
    <w:rPr>
      <w:rFonts w:ascii="Arial" w:hAnsi="Arial" w:eastAsia="Arial" w:cs="Arial"/>
      <w:b/>
      <w:bCs/>
      <w:sz w:val="22"/>
      <w:szCs w:val="22"/>
    </w:rPr>
  </w:style>
  <w:style w:type="character" w:styleId="853" w:customStyle="1">
    <w:name w:val="Heading 7 Char"/>
    <w:basedOn w:val="837"/>
    <w:uiPriority w:val="9"/>
    <w:pPr>
      <w:pBdr/>
      <w:spacing/>
      <w:ind/>
    </w:pPr>
    <w:rPr>
      <w:rFonts w:ascii="Arial" w:hAnsi="Arial" w:eastAsia="Arial" w:cs="Arial"/>
      <w:b/>
      <w:bCs/>
      <w:i/>
      <w:iCs/>
      <w:sz w:val="22"/>
      <w:szCs w:val="22"/>
    </w:rPr>
  </w:style>
  <w:style w:type="character" w:styleId="854" w:customStyle="1">
    <w:name w:val="Heading 8 Char"/>
    <w:basedOn w:val="837"/>
    <w:uiPriority w:val="9"/>
    <w:pPr>
      <w:pBdr/>
      <w:spacing/>
      <w:ind/>
    </w:pPr>
    <w:rPr>
      <w:rFonts w:ascii="Arial" w:hAnsi="Arial" w:eastAsia="Arial" w:cs="Arial"/>
      <w:i/>
      <w:iCs/>
      <w:sz w:val="22"/>
      <w:szCs w:val="22"/>
    </w:rPr>
  </w:style>
  <w:style w:type="character" w:styleId="855" w:customStyle="1">
    <w:name w:val="Heading 9 Char"/>
    <w:basedOn w:val="837"/>
    <w:uiPriority w:val="9"/>
    <w:pPr>
      <w:pBdr/>
      <w:spacing/>
      <w:ind/>
    </w:pPr>
    <w:rPr>
      <w:rFonts w:ascii="Arial" w:hAnsi="Arial" w:eastAsia="Arial" w:cs="Arial"/>
      <w:i/>
      <w:iCs/>
      <w:sz w:val="21"/>
      <w:szCs w:val="21"/>
    </w:rPr>
  </w:style>
  <w:style w:type="character" w:styleId="856" w:customStyle="1">
    <w:name w:val="Title Char"/>
    <w:basedOn w:val="837"/>
    <w:uiPriority w:val="10"/>
    <w:pPr>
      <w:pBdr/>
      <w:spacing/>
      <w:ind/>
    </w:pPr>
    <w:rPr>
      <w:sz w:val="48"/>
      <w:szCs w:val="48"/>
    </w:rPr>
  </w:style>
  <w:style w:type="character" w:styleId="857" w:customStyle="1">
    <w:name w:val="Subtitle Char"/>
    <w:basedOn w:val="837"/>
    <w:uiPriority w:val="11"/>
    <w:pPr>
      <w:pBdr/>
      <w:spacing/>
      <w:ind/>
    </w:pPr>
    <w:rPr>
      <w:sz w:val="24"/>
      <w:szCs w:val="24"/>
    </w:rPr>
  </w:style>
  <w:style w:type="character" w:styleId="858" w:customStyle="1">
    <w:name w:val="Quote Char"/>
    <w:uiPriority w:val="29"/>
    <w:pPr>
      <w:pBdr/>
      <w:spacing/>
      <w:ind/>
    </w:pPr>
    <w:rPr>
      <w:i/>
    </w:rPr>
  </w:style>
  <w:style w:type="character" w:styleId="859" w:customStyle="1">
    <w:name w:val="Intense Quote Char"/>
    <w:uiPriority w:val="30"/>
    <w:pPr>
      <w:pBdr/>
      <w:spacing/>
      <w:ind/>
    </w:pPr>
    <w:rPr>
      <w:i/>
    </w:rPr>
  </w:style>
  <w:style w:type="character" w:styleId="860" w:customStyle="1">
    <w:name w:val="Header Char"/>
    <w:basedOn w:val="837"/>
    <w:uiPriority w:val="99"/>
    <w:pPr>
      <w:pBdr/>
      <w:spacing/>
      <w:ind/>
    </w:pPr>
  </w:style>
  <w:style w:type="character" w:styleId="861" w:customStyle="1">
    <w:name w:val="Caption Char"/>
    <w:uiPriority w:val="99"/>
    <w:pPr>
      <w:pBdr/>
      <w:spacing/>
      <w:ind/>
    </w:pPr>
  </w:style>
  <w:style w:type="character" w:styleId="862" w:customStyle="1">
    <w:name w:val="Footnote Text Char"/>
    <w:uiPriority w:val="99"/>
    <w:pPr>
      <w:pBdr/>
      <w:spacing/>
      <w:ind/>
    </w:pPr>
    <w:rPr>
      <w:sz w:val="18"/>
    </w:rPr>
  </w:style>
  <w:style w:type="character" w:styleId="863" w:customStyle="1">
    <w:name w:val="Endnote Text Char"/>
    <w:uiPriority w:val="99"/>
    <w:pPr>
      <w:pBdr/>
      <w:spacing/>
      <w:ind/>
    </w:pPr>
    <w:rPr>
      <w:sz w:val="20"/>
    </w:rPr>
  </w:style>
  <w:style w:type="character" w:styleId="864" w:customStyle="1">
    <w:name w:val="Título 1 Char"/>
    <w:basedOn w:val="837"/>
    <w:link w:val="828"/>
    <w:uiPriority w:val="9"/>
    <w:pPr>
      <w:pBdr/>
      <w:spacing/>
      <w:ind/>
    </w:pPr>
    <w:rPr>
      <w:rFonts w:ascii="Arial" w:hAnsi="Arial" w:eastAsia="Arial" w:cs="Arial"/>
      <w:sz w:val="40"/>
      <w:szCs w:val="40"/>
    </w:rPr>
  </w:style>
  <w:style w:type="character" w:styleId="865" w:customStyle="1">
    <w:name w:val="Título 2 Char"/>
    <w:basedOn w:val="837"/>
    <w:link w:val="829"/>
    <w:uiPriority w:val="9"/>
    <w:pPr>
      <w:pBdr/>
      <w:spacing/>
      <w:ind/>
    </w:pPr>
    <w:rPr>
      <w:rFonts w:ascii="Arial" w:hAnsi="Arial" w:eastAsia="Arial" w:cs="Arial"/>
      <w:sz w:val="34"/>
    </w:rPr>
  </w:style>
  <w:style w:type="character" w:styleId="866" w:customStyle="1">
    <w:name w:val="Título 3 Char"/>
    <w:basedOn w:val="837"/>
    <w:link w:val="830"/>
    <w:uiPriority w:val="9"/>
    <w:pPr>
      <w:pBdr/>
      <w:spacing/>
      <w:ind/>
    </w:pPr>
    <w:rPr>
      <w:rFonts w:ascii="Arial" w:hAnsi="Arial" w:eastAsia="Arial" w:cs="Arial"/>
      <w:sz w:val="30"/>
      <w:szCs w:val="30"/>
    </w:rPr>
  </w:style>
  <w:style w:type="character" w:styleId="867" w:customStyle="1">
    <w:name w:val="Título 4 Char"/>
    <w:basedOn w:val="837"/>
    <w:link w:val="831"/>
    <w:uiPriority w:val="9"/>
    <w:pPr>
      <w:pBdr/>
      <w:spacing/>
      <w:ind/>
    </w:pPr>
    <w:rPr>
      <w:rFonts w:ascii="Arial" w:hAnsi="Arial" w:eastAsia="Arial" w:cs="Arial"/>
      <w:b/>
      <w:bCs/>
      <w:sz w:val="26"/>
      <w:szCs w:val="26"/>
    </w:rPr>
  </w:style>
  <w:style w:type="character" w:styleId="868" w:customStyle="1">
    <w:name w:val="Título 5 Char"/>
    <w:basedOn w:val="837"/>
    <w:link w:val="832"/>
    <w:uiPriority w:val="9"/>
    <w:pPr>
      <w:pBdr/>
      <w:spacing/>
      <w:ind/>
    </w:pPr>
    <w:rPr>
      <w:rFonts w:ascii="Arial" w:hAnsi="Arial" w:eastAsia="Arial" w:cs="Arial"/>
      <w:b/>
      <w:bCs/>
      <w:sz w:val="24"/>
      <w:szCs w:val="24"/>
    </w:rPr>
  </w:style>
  <w:style w:type="character" w:styleId="869" w:customStyle="1">
    <w:name w:val="Título 6 Char"/>
    <w:basedOn w:val="837"/>
    <w:link w:val="833"/>
    <w:uiPriority w:val="9"/>
    <w:pPr>
      <w:pBdr/>
      <w:spacing/>
      <w:ind/>
    </w:pPr>
    <w:rPr>
      <w:rFonts w:ascii="Arial" w:hAnsi="Arial" w:eastAsia="Arial" w:cs="Arial"/>
      <w:b/>
      <w:bCs/>
      <w:sz w:val="22"/>
      <w:szCs w:val="22"/>
    </w:rPr>
  </w:style>
  <w:style w:type="character" w:styleId="870" w:customStyle="1">
    <w:name w:val="Título 7 Char"/>
    <w:basedOn w:val="837"/>
    <w:link w:val="834"/>
    <w:uiPriority w:val="9"/>
    <w:pPr>
      <w:pBdr/>
      <w:spacing/>
      <w:ind/>
    </w:pPr>
    <w:rPr>
      <w:rFonts w:ascii="Arial" w:hAnsi="Arial" w:eastAsia="Arial" w:cs="Arial"/>
      <w:b/>
      <w:bCs/>
      <w:i/>
      <w:iCs/>
      <w:sz w:val="22"/>
      <w:szCs w:val="22"/>
    </w:rPr>
  </w:style>
  <w:style w:type="character" w:styleId="871" w:customStyle="1">
    <w:name w:val="Título 8 Char"/>
    <w:basedOn w:val="837"/>
    <w:link w:val="835"/>
    <w:uiPriority w:val="9"/>
    <w:pPr>
      <w:pBdr/>
      <w:spacing/>
      <w:ind/>
    </w:pPr>
    <w:rPr>
      <w:rFonts w:ascii="Arial" w:hAnsi="Arial" w:eastAsia="Arial" w:cs="Arial"/>
      <w:i/>
      <w:iCs/>
      <w:sz w:val="22"/>
      <w:szCs w:val="22"/>
    </w:rPr>
  </w:style>
  <w:style w:type="character" w:styleId="872" w:customStyle="1">
    <w:name w:val="Título 9 Char"/>
    <w:basedOn w:val="837"/>
    <w:link w:val="836"/>
    <w:uiPriority w:val="9"/>
    <w:pPr>
      <w:pBdr/>
      <w:spacing/>
      <w:ind/>
    </w:pPr>
    <w:rPr>
      <w:rFonts w:ascii="Arial" w:hAnsi="Arial" w:eastAsia="Arial" w:cs="Arial"/>
      <w:i/>
      <w:iCs/>
      <w:sz w:val="21"/>
      <w:szCs w:val="21"/>
    </w:rPr>
  </w:style>
  <w:style w:type="paragraph" w:styleId="873">
    <w:name w:val="List Paragraph"/>
    <w:basedOn w:val="827"/>
    <w:uiPriority w:val="34"/>
    <w:qFormat/>
    <w:pPr>
      <w:pBdr/>
      <w:spacing/>
      <w:ind w:left="720"/>
      <w:contextualSpacing w:val="true"/>
    </w:pPr>
  </w:style>
  <w:style w:type="paragraph" w:styleId="874">
    <w:name w:val="No Spacing"/>
    <w:uiPriority w:val="1"/>
    <w:qFormat/>
    <w:pPr>
      <w:pBdr/>
      <w:spacing w:after="0" w:line="240" w:lineRule="auto"/>
      <w:ind/>
    </w:pPr>
  </w:style>
  <w:style w:type="paragraph" w:styleId="875">
    <w:name w:val="Title"/>
    <w:basedOn w:val="827"/>
    <w:next w:val="827"/>
    <w:link w:val="876"/>
    <w:uiPriority w:val="10"/>
    <w:qFormat/>
    <w:pPr>
      <w:pBdr/>
      <w:spacing w:after="200" w:before="300"/>
      <w:ind/>
      <w:contextualSpacing w:val="true"/>
    </w:pPr>
    <w:rPr>
      <w:sz w:val="48"/>
      <w:szCs w:val="48"/>
    </w:rPr>
  </w:style>
  <w:style w:type="character" w:styleId="876" w:customStyle="1">
    <w:name w:val="Título Char"/>
    <w:basedOn w:val="837"/>
    <w:link w:val="875"/>
    <w:uiPriority w:val="10"/>
    <w:pPr>
      <w:pBdr/>
      <w:spacing/>
      <w:ind/>
    </w:pPr>
    <w:rPr>
      <w:sz w:val="48"/>
      <w:szCs w:val="48"/>
    </w:rPr>
  </w:style>
  <w:style w:type="paragraph" w:styleId="877">
    <w:name w:val="Subtitle"/>
    <w:basedOn w:val="827"/>
    <w:next w:val="827"/>
    <w:link w:val="878"/>
    <w:uiPriority w:val="11"/>
    <w:qFormat/>
    <w:pPr>
      <w:pBdr/>
      <w:spacing w:after="200" w:before="200"/>
      <w:ind/>
    </w:pPr>
    <w:rPr>
      <w:sz w:val="24"/>
      <w:szCs w:val="24"/>
    </w:rPr>
  </w:style>
  <w:style w:type="character" w:styleId="878" w:customStyle="1">
    <w:name w:val="Subtítulo Char"/>
    <w:basedOn w:val="837"/>
    <w:link w:val="877"/>
    <w:uiPriority w:val="11"/>
    <w:pPr>
      <w:pBdr/>
      <w:spacing/>
      <w:ind/>
    </w:pPr>
    <w:rPr>
      <w:sz w:val="24"/>
      <w:szCs w:val="24"/>
    </w:rPr>
  </w:style>
  <w:style w:type="paragraph" w:styleId="879">
    <w:name w:val="Quote"/>
    <w:basedOn w:val="827"/>
    <w:next w:val="827"/>
    <w:link w:val="880"/>
    <w:uiPriority w:val="29"/>
    <w:qFormat/>
    <w:pPr>
      <w:pBdr/>
      <w:spacing/>
      <w:ind w:right="720" w:left="720"/>
    </w:pPr>
    <w:rPr>
      <w:i/>
    </w:rPr>
  </w:style>
  <w:style w:type="character" w:styleId="880" w:customStyle="1">
    <w:name w:val="Citação Char"/>
    <w:link w:val="879"/>
    <w:uiPriority w:val="29"/>
    <w:pPr>
      <w:pBdr/>
      <w:spacing/>
      <w:ind/>
    </w:pPr>
    <w:rPr>
      <w:i/>
    </w:rPr>
  </w:style>
  <w:style w:type="paragraph" w:styleId="881">
    <w:name w:val="Intense Quote"/>
    <w:basedOn w:val="827"/>
    <w:next w:val="827"/>
    <w:link w:val="882"/>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882" w:customStyle="1">
    <w:name w:val="Citação Intensa Char"/>
    <w:link w:val="881"/>
    <w:uiPriority w:val="30"/>
    <w:pPr>
      <w:pBdr/>
      <w:spacing/>
      <w:ind/>
    </w:pPr>
    <w:rPr>
      <w:i/>
    </w:rPr>
  </w:style>
  <w:style w:type="paragraph" w:styleId="883">
    <w:name w:val="Header"/>
    <w:basedOn w:val="827"/>
    <w:link w:val="884"/>
    <w:uiPriority w:val="99"/>
    <w:unhideWhenUsed/>
    <w:pPr>
      <w:pBdr/>
      <w:tabs>
        <w:tab w:val="center" w:leader="none" w:pos="7143"/>
        <w:tab w:val="right" w:leader="none" w:pos="14287"/>
      </w:tabs>
      <w:spacing w:after="0" w:line="240" w:lineRule="auto"/>
      <w:ind/>
    </w:pPr>
  </w:style>
  <w:style w:type="character" w:styleId="884" w:customStyle="1">
    <w:name w:val="Cabeçalho Char"/>
    <w:basedOn w:val="837"/>
    <w:link w:val="883"/>
    <w:uiPriority w:val="99"/>
    <w:pPr>
      <w:pBdr/>
      <w:spacing/>
      <w:ind/>
    </w:pPr>
  </w:style>
  <w:style w:type="paragraph" w:styleId="885">
    <w:name w:val="Footer"/>
    <w:basedOn w:val="827"/>
    <w:link w:val="888"/>
    <w:uiPriority w:val="99"/>
    <w:unhideWhenUsed/>
    <w:pPr>
      <w:pBdr/>
      <w:tabs>
        <w:tab w:val="center" w:leader="none" w:pos="7143"/>
        <w:tab w:val="right" w:leader="none" w:pos="14287"/>
      </w:tabs>
      <w:spacing w:after="0" w:line="240" w:lineRule="auto"/>
      <w:ind/>
    </w:pPr>
  </w:style>
  <w:style w:type="character" w:styleId="886" w:customStyle="1">
    <w:name w:val="Footer Char"/>
    <w:basedOn w:val="837"/>
    <w:uiPriority w:val="99"/>
    <w:pPr>
      <w:pBdr/>
      <w:spacing/>
      <w:ind/>
    </w:pPr>
  </w:style>
  <w:style w:type="paragraph" w:styleId="887">
    <w:name w:val="Caption"/>
    <w:basedOn w:val="827"/>
    <w:next w:val="827"/>
    <w:uiPriority w:val="35"/>
    <w:semiHidden/>
    <w:unhideWhenUsed/>
    <w:qFormat/>
    <w:pPr>
      <w:pBdr/>
      <w:spacing w:line="276" w:lineRule="auto"/>
      <w:ind/>
    </w:pPr>
    <w:rPr>
      <w:b/>
      <w:bCs/>
      <w:color w:val="5b9bd5" w:themeColor="accent1"/>
      <w:sz w:val="18"/>
      <w:szCs w:val="18"/>
    </w:rPr>
  </w:style>
  <w:style w:type="character" w:styleId="888" w:customStyle="1">
    <w:name w:val="Rodapé Char"/>
    <w:link w:val="885"/>
    <w:uiPriority w:val="99"/>
    <w:pPr>
      <w:pBdr/>
      <w:spacing/>
      <w:ind/>
    </w:pPr>
  </w:style>
  <w:style w:type="table" w:styleId="889">
    <w:name w:val="Table Grid"/>
    <w:basedOn w:val="838"/>
    <w:uiPriority w:val="5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Table Grid Light"/>
    <w:basedOn w:val="8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Plain Table 1"/>
    <w:basedOn w:val="8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Plain Table 2"/>
    <w:basedOn w:val="838"/>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Plain Table 3"/>
    <w:basedOn w:val="8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Plain Table 4"/>
    <w:basedOn w:val="8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Plain Table 5"/>
    <w:basedOn w:val="8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1 Light"/>
    <w:basedOn w:val="838"/>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Grid Table 1 Light - Accent 1"/>
    <w:basedOn w:val="8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Grid Table 1 Light - Accent 2"/>
    <w:basedOn w:val="8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Grid Table 1 Light - Accent 3"/>
    <w:basedOn w:val="8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Grid Table 1 Light - Accent 4"/>
    <w:basedOn w:val="8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Grid Table 1 Light - Accent 5"/>
    <w:basedOn w:val="8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Grid Table 1 Light - Accent 6"/>
    <w:basedOn w:val="8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2"/>
    <w:basedOn w:val="8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Grid Table 2 - Accent 1"/>
    <w:basedOn w:val="8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Grid Table 2 - Accent 2"/>
    <w:basedOn w:val="8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Grid Table 2 - Accent 3"/>
    <w:basedOn w:val="8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Grid Table 2 - Accent 4"/>
    <w:basedOn w:val="8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Grid Table 2 - Accent 5"/>
    <w:basedOn w:val="8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Grid Table 2 - Accent 6"/>
    <w:basedOn w:val="8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3"/>
    <w:basedOn w:val="8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Grid Table 3 - Accent 1"/>
    <w:basedOn w:val="8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Grid Table 3 - Accent 2"/>
    <w:basedOn w:val="8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Grid Table 3 - Accent 3"/>
    <w:basedOn w:val="8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Grid Table 3 - Accent 4"/>
    <w:basedOn w:val="8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Grid Table 3 - Accent 5"/>
    <w:basedOn w:val="8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Grid Table 3 - Accent 6"/>
    <w:basedOn w:val="8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4"/>
    <w:basedOn w:val="838"/>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Grid Table 4 - Accent 1"/>
    <w:basedOn w:val="838"/>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Grid Table 4 - Accent 2"/>
    <w:basedOn w:val="838"/>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Grid Table 4 - Accent 3"/>
    <w:basedOn w:val="838"/>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Grid Table 4 - Accent 4"/>
    <w:basedOn w:val="838"/>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Grid Table 4 - Accent 5"/>
    <w:basedOn w:val="838"/>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Grid Table 4 - Accent 6"/>
    <w:basedOn w:val="838"/>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5 Dark"/>
    <w:basedOn w:val="8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Grid Table 5 Dark- Accent 1"/>
    <w:basedOn w:val="8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Grid Table 5 Dark - Accent 2"/>
    <w:basedOn w:val="8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Grid Table 5 Dark - Accent 3"/>
    <w:basedOn w:val="8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Grid Table 5 Dark- Accent 4"/>
    <w:basedOn w:val="8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Grid Table 5 Dark - Accent 5"/>
    <w:basedOn w:val="8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Grid Table 5 Dark - Accent 6"/>
    <w:basedOn w:val="8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6 Colorful"/>
    <w:basedOn w:val="838"/>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Grid Table 6 Colorful - Accent 1"/>
    <w:basedOn w:val="838"/>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Grid Table 6 Colorful - Accent 2"/>
    <w:basedOn w:val="8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Grid Table 6 Colorful - Accent 3"/>
    <w:basedOn w:val="838"/>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Grid Table 6 Colorful - Accent 4"/>
    <w:basedOn w:val="8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Grid Table 6 Colorful - Accent 5"/>
    <w:basedOn w:val="838"/>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Grid Table 6 Colorful - Accent 6"/>
    <w:basedOn w:val="838"/>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7 Colorful"/>
    <w:basedOn w:val="838"/>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Grid Table 7 Colorful - Accent 1"/>
    <w:basedOn w:val="838"/>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Grid Table 7 Colorful - Accent 2"/>
    <w:basedOn w:val="838"/>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Grid Table 7 Colorful - Accent 3"/>
    <w:basedOn w:val="838"/>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Grid Table 7 Colorful - Accent 4"/>
    <w:basedOn w:val="838"/>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Grid Table 7 Colorful - Accent 5"/>
    <w:basedOn w:val="838"/>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Grid Table 7 Colorful - Accent 6"/>
    <w:basedOn w:val="838"/>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1 Light"/>
    <w:basedOn w:val="8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List Table 1 Light - Accent 1"/>
    <w:basedOn w:val="8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List Table 1 Light - Accent 2"/>
    <w:basedOn w:val="8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List Table 1 Light - Accent 3"/>
    <w:basedOn w:val="8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List Table 1 Light - Accent 4"/>
    <w:basedOn w:val="8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List Table 1 Light - Accent 5"/>
    <w:basedOn w:val="8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List Table 1 Light - Accent 6"/>
    <w:basedOn w:val="8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2"/>
    <w:basedOn w:val="838"/>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List Table 2 - Accent 1"/>
    <w:basedOn w:val="838"/>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List Table 2 - Accent 2"/>
    <w:basedOn w:val="838"/>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List Table 2 - Accent 3"/>
    <w:basedOn w:val="838"/>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List Table 2 - Accent 4"/>
    <w:basedOn w:val="838"/>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List Table 2 - Accent 5"/>
    <w:basedOn w:val="838"/>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List Table 2 - Accent 6"/>
    <w:basedOn w:val="838"/>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st Table 3"/>
    <w:basedOn w:val="8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List Table 3 - Accent 1"/>
    <w:basedOn w:val="838"/>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List Table 3 - Accent 2"/>
    <w:basedOn w:val="8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List Table 3 - Accent 3"/>
    <w:basedOn w:val="838"/>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List Table 3 - Accent 4"/>
    <w:basedOn w:val="8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List Table 3 - Accent 5"/>
    <w:basedOn w:val="838"/>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List Table 3 - Accent 6"/>
    <w:basedOn w:val="838"/>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4"/>
    <w:basedOn w:val="8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List Table 4 - Accent 1"/>
    <w:basedOn w:val="838"/>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List Table 4 - Accent 2"/>
    <w:basedOn w:val="838"/>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List Table 4 - Accent 3"/>
    <w:basedOn w:val="838"/>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List Table 4 - Accent 4"/>
    <w:basedOn w:val="838"/>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List Table 4 - Accent 5"/>
    <w:basedOn w:val="838"/>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List Table 4 - Accent 6"/>
    <w:basedOn w:val="838"/>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5 Dark"/>
    <w:basedOn w:val="838"/>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List Table 5 Dark - Accent 1"/>
    <w:basedOn w:val="838"/>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List Table 5 Dark - Accent 2"/>
    <w:basedOn w:val="838"/>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List Table 5 Dark - Accent 3"/>
    <w:basedOn w:val="838"/>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List Table 5 Dark - Accent 4"/>
    <w:basedOn w:val="838"/>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List Table 5 Dark - Accent 5"/>
    <w:basedOn w:val="838"/>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List Table 5 Dark - Accent 6"/>
    <w:basedOn w:val="838"/>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6 Colorful"/>
    <w:basedOn w:val="838"/>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List Table 6 Colorful - Accent 1"/>
    <w:basedOn w:val="838"/>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List Table 6 Colorful - Accent 2"/>
    <w:basedOn w:val="838"/>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List Table 6 Colorful - Accent 3"/>
    <w:basedOn w:val="838"/>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List Table 6 Colorful - Accent 4"/>
    <w:basedOn w:val="838"/>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List Table 6 Colorful - Accent 5"/>
    <w:basedOn w:val="838"/>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List Table 6 Colorful - Accent 6"/>
    <w:basedOn w:val="838"/>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st Table 7 Colorful"/>
    <w:basedOn w:val="838"/>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List Table 7 Colorful - Accent 1"/>
    <w:basedOn w:val="838"/>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customStyle="1">
    <w:name w:val="List Table 7 Colorful - Accent 2"/>
    <w:basedOn w:val="838"/>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customStyle="1">
    <w:name w:val="List Table 7 Colorful - Accent 3"/>
    <w:basedOn w:val="838"/>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customStyle="1">
    <w:name w:val="List Table 7 Colorful - Accent 4"/>
    <w:basedOn w:val="838"/>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customStyle="1">
    <w:name w:val="List Table 7 Colorful - Accent 5"/>
    <w:basedOn w:val="838"/>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customStyle="1">
    <w:name w:val="List Table 7 Colorful - Accent 6"/>
    <w:basedOn w:val="838"/>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customStyle="1">
    <w:name w:val="Lined - Accent"/>
    <w:basedOn w:val="838"/>
    <w:uiPriority w:val="99"/>
    <w:pPr>
      <w:pBdr/>
      <w:spacing w:after="0" w:line="240" w:lineRule="auto"/>
      <w:ind/>
    </w:pPr>
    <w:rPr>
      <w:color w:val="404040"/>
      <w:sz w:val="20"/>
      <w:szCs w:val="20"/>
      <w:lang w:eastAsia="pt-BR"/>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customStyle="1">
    <w:name w:val="Lined - Accent 1"/>
    <w:basedOn w:val="838"/>
    <w:uiPriority w:val="99"/>
    <w:pPr>
      <w:pBdr/>
      <w:spacing w:after="0" w:line="240" w:lineRule="auto"/>
      <w:ind/>
    </w:pPr>
    <w:rPr>
      <w:color w:val="404040"/>
      <w:sz w:val="20"/>
      <w:szCs w:val="20"/>
      <w:lang w:eastAsia="pt-BR"/>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Lined - Accent 2"/>
    <w:basedOn w:val="838"/>
    <w:uiPriority w:val="99"/>
    <w:pPr>
      <w:pBdr/>
      <w:spacing w:after="0" w:line="240" w:lineRule="auto"/>
      <w:ind/>
    </w:pPr>
    <w:rPr>
      <w:color w:val="404040"/>
      <w:sz w:val="20"/>
      <w:szCs w:val="20"/>
      <w:lang w:eastAsia="pt-BR"/>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customStyle="1">
    <w:name w:val="Lined - Accent 3"/>
    <w:basedOn w:val="838"/>
    <w:uiPriority w:val="99"/>
    <w:pPr>
      <w:pBdr/>
      <w:spacing w:after="0" w:line="240" w:lineRule="auto"/>
      <w:ind/>
    </w:pPr>
    <w:rPr>
      <w:color w:val="404040"/>
      <w:sz w:val="20"/>
      <w:szCs w:val="20"/>
      <w:lang w:eastAsia="pt-BR"/>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customStyle="1">
    <w:name w:val="Lined - Accent 4"/>
    <w:basedOn w:val="838"/>
    <w:uiPriority w:val="99"/>
    <w:pPr>
      <w:pBdr/>
      <w:spacing w:after="0" w:line="240" w:lineRule="auto"/>
      <w:ind/>
    </w:pPr>
    <w:rPr>
      <w:color w:val="404040"/>
      <w:sz w:val="20"/>
      <w:szCs w:val="20"/>
      <w:lang w:eastAsia="pt-BR"/>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customStyle="1">
    <w:name w:val="Lined - Accent 5"/>
    <w:basedOn w:val="838"/>
    <w:uiPriority w:val="99"/>
    <w:pPr>
      <w:pBdr/>
      <w:spacing w:after="0" w:line="240" w:lineRule="auto"/>
      <w:ind/>
    </w:pPr>
    <w:rPr>
      <w:color w:val="404040"/>
      <w:sz w:val="20"/>
      <w:szCs w:val="20"/>
      <w:lang w:eastAsia="pt-BR"/>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customStyle="1">
    <w:name w:val="Lined - Accent 6"/>
    <w:basedOn w:val="838"/>
    <w:uiPriority w:val="99"/>
    <w:pPr>
      <w:pBdr/>
      <w:spacing w:after="0" w:line="240" w:lineRule="auto"/>
      <w:ind/>
    </w:pPr>
    <w:rPr>
      <w:color w:val="404040"/>
      <w:sz w:val="20"/>
      <w:szCs w:val="20"/>
      <w:lang w:eastAsia="pt-BR"/>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customStyle="1">
    <w:name w:val="Bordered &amp; Lined - Accent"/>
    <w:basedOn w:val="838"/>
    <w:uiPriority w:val="99"/>
    <w:pPr>
      <w:pBdr/>
      <w:spacing w:after="0" w:line="240" w:lineRule="auto"/>
      <w:ind/>
    </w:pPr>
    <w:rPr>
      <w:color w:val="404040"/>
      <w:sz w:val="20"/>
      <w:szCs w:val="20"/>
      <w:lang w:eastAsia="pt-BR"/>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customStyle="1">
    <w:name w:val="Bordered &amp; Lined - Accent 1"/>
    <w:basedOn w:val="838"/>
    <w:uiPriority w:val="99"/>
    <w:pPr>
      <w:pBdr/>
      <w:spacing w:after="0" w:line="240" w:lineRule="auto"/>
      <w:ind/>
    </w:pPr>
    <w:rPr>
      <w:color w:val="404040"/>
      <w:sz w:val="20"/>
      <w:szCs w:val="20"/>
      <w:lang w:eastAsia="pt-BR"/>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customStyle="1">
    <w:name w:val="Bordered &amp; Lined - Accent 2"/>
    <w:basedOn w:val="838"/>
    <w:uiPriority w:val="99"/>
    <w:pPr>
      <w:pBdr/>
      <w:spacing w:after="0" w:line="240" w:lineRule="auto"/>
      <w:ind/>
    </w:pPr>
    <w:rPr>
      <w:color w:val="404040"/>
      <w:sz w:val="20"/>
      <w:szCs w:val="20"/>
      <w:lang w:eastAsia="pt-BR"/>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customStyle="1">
    <w:name w:val="Bordered &amp; Lined - Accent 3"/>
    <w:basedOn w:val="838"/>
    <w:uiPriority w:val="99"/>
    <w:pPr>
      <w:pBdr/>
      <w:spacing w:after="0" w:line="240" w:lineRule="auto"/>
      <w:ind/>
    </w:pPr>
    <w:rPr>
      <w:color w:val="404040"/>
      <w:sz w:val="20"/>
      <w:szCs w:val="20"/>
      <w:lang w:eastAsia="pt-BR"/>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customStyle="1">
    <w:name w:val="Bordered &amp; Lined - Accent 4"/>
    <w:basedOn w:val="838"/>
    <w:uiPriority w:val="99"/>
    <w:pPr>
      <w:pBdr/>
      <w:spacing w:after="0" w:line="240" w:lineRule="auto"/>
      <w:ind/>
    </w:pPr>
    <w:rPr>
      <w:color w:val="404040"/>
      <w:sz w:val="20"/>
      <w:szCs w:val="20"/>
      <w:lang w:eastAsia="pt-BR"/>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customStyle="1">
    <w:name w:val="Bordered &amp; Lined - Accent 5"/>
    <w:basedOn w:val="838"/>
    <w:uiPriority w:val="99"/>
    <w:pPr>
      <w:pBdr/>
      <w:spacing w:after="0" w:line="240" w:lineRule="auto"/>
      <w:ind/>
    </w:pPr>
    <w:rPr>
      <w:color w:val="404040"/>
      <w:sz w:val="20"/>
      <w:szCs w:val="20"/>
      <w:lang w:eastAsia="pt-BR"/>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customStyle="1">
    <w:name w:val="Bordered &amp; Lined - Accent 6"/>
    <w:basedOn w:val="838"/>
    <w:uiPriority w:val="99"/>
    <w:pPr>
      <w:pBdr/>
      <w:spacing w:after="0" w:line="240" w:lineRule="auto"/>
      <w:ind/>
    </w:pPr>
    <w:rPr>
      <w:color w:val="404040"/>
      <w:sz w:val="20"/>
      <w:szCs w:val="20"/>
      <w:lang w:eastAsia="pt-BR"/>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customStyle="1">
    <w:name w:val="Bordered"/>
    <w:basedOn w:val="838"/>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customStyle="1">
    <w:name w:val="Bordered - Accent 1"/>
    <w:basedOn w:val="8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customStyle="1">
    <w:name w:val="Bordered - Accent 2"/>
    <w:basedOn w:val="8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Bordered - Accent 3"/>
    <w:basedOn w:val="8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Bordered - Accent 4"/>
    <w:basedOn w:val="8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customStyle="1">
    <w:name w:val="Bordered - Accent 5"/>
    <w:basedOn w:val="8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customStyle="1">
    <w:name w:val="Bordered - Accent 6"/>
    <w:basedOn w:val="8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15">
    <w:name w:val="Hyperlink"/>
    <w:uiPriority w:val="99"/>
    <w:unhideWhenUsed/>
    <w:pPr>
      <w:pBdr/>
      <w:spacing/>
      <w:ind/>
    </w:pPr>
    <w:rPr>
      <w:color w:val="0563c1" w:themeColor="hyperlink"/>
      <w:u w:val="single"/>
    </w:rPr>
  </w:style>
  <w:style w:type="paragraph" w:styleId="1016">
    <w:name w:val="footnote text"/>
    <w:basedOn w:val="827"/>
    <w:link w:val="1017"/>
    <w:uiPriority w:val="99"/>
    <w:semiHidden/>
    <w:unhideWhenUsed/>
    <w:pPr>
      <w:pBdr/>
      <w:spacing w:after="40" w:line="240" w:lineRule="auto"/>
      <w:ind/>
    </w:pPr>
    <w:rPr>
      <w:sz w:val="18"/>
    </w:rPr>
  </w:style>
  <w:style w:type="character" w:styleId="1017" w:customStyle="1">
    <w:name w:val="Texto de nota de rodapé Char"/>
    <w:link w:val="1016"/>
    <w:uiPriority w:val="99"/>
    <w:pPr>
      <w:pBdr/>
      <w:spacing/>
      <w:ind/>
    </w:pPr>
    <w:rPr>
      <w:sz w:val="18"/>
    </w:rPr>
  </w:style>
  <w:style w:type="character" w:styleId="1018">
    <w:name w:val="footnote reference"/>
    <w:basedOn w:val="837"/>
    <w:uiPriority w:val="99"/>
    <w:unhideWhenUsed/>
    <w:pPr>
      <w:pBdr/>
      <w:spacing/>
      <w:ind/>
    </w:pPr>
    <w:rPr>
      <w:vertAlign w:val="superscript"/>
    </w:rPr>
  </w:style>
  <w:style w:type="paragraph" w:styleId="1019">
    <w:name w:val="endnote text"/>
    <w:basedOn w:val="827"/>
    <w:link w:val="1020"/>
    <w:uiPriority w:val="99"/>
    <w:semiHidden/>
    <w:unhideWhenUsed/>
    <w:pPr>
      <w:pBdr/>
      <w:spacing w:after="0" w:line="240" w:lineRule="auto"/>
      <w:ind/>
    </w:pPr>
    <w:rPr>
      <w:sz w:val="20"/>
    </w:rPr>
  </w:style>
  <w:style w:type="character" w:styleId="1020" w:customStyle="1">
    <w:name w:val="Texto de nota de fim Char"/>
    <w:link w:val="1019"/>
    <w:uiPriority w:val="99"/>
    <w:pPr>
      <w:pBdr/>
      <w:spacing/>
      <w:ind/>
    </w:pPr>
    <w:rPr>
      <w:sz w:val="20"/>
    </w:rPr>
  </w:style>
  <w:style w:type="character" w:styleId="1021">
    <w:name w:val="endnote reference"/>
    <w:basedOn w:val="837"/>
    <w:uiPriority w:val="99"/>
    <w:semiHidden/>
    <w:unhideWhenUsed/>
    <w:pPr>
      <w:pBdr/>
      <w:spacing/>
      <w:ind/>
    </w:pPr>
    <w:rPr>
      <w:vertAlign w:val="superscript"/>
    </w:rPr>
  </w:style>
  <w:style w:type="paragraph" w:styleId="1022">
    <w:name w:val="toc 1"/>
    <w:basedOn w:val="827"/>
    <w:next w:val="827"/>
    <w:uiPriority w:val="39"/>
    <w:unhideWhenUsed/>
    <w:pPr>
      <w:pBdr/>
      <w:spacing w:after="57"/>
      <w:ind/>
    </w:pPr>
  </w:style>
  <w:style w:type="paragraph" w:styleId="1023">
    <w:name w:val="toc 2"/>
    <w:basedOn w:val="827"/>
    <w:next w:val="827"/>
    <w:uiPriority w:val="39"/>
    <w:unhideWhenUsed/>
    <w:pPr>
      <w:pBdr/>
      <w:spacing w:after="57"/>
      <w:ind w:left="283"/>
    </w:pPr>
  </w:style>
  <w:style w:type="paragraph" w:styleId="1024">
    <w:name w:val="toc 3"/>
    <w:basedOn w:val="827"/>
    <w:next w:val="827"/>
    <w:uiPriority w:val="39"/>
    <w:unhideWhenUsed/>
    <w:pPr>
      <w:pBdr/>
      <w:spacing w:after="57"/>
      <w:ind w:left="567"/>
    </w:pPr>
  </w:style>
  <w:style w:type="paragraph" w:styleId="1025">
    <w:name w:val="toc 4"/>
    <w:basedOn w:val="827"/>
    <w:next w:val="827"/>
    <w:uiPriority w:val="39"/>
    <w:unhideWhenUsed/>
    <w:pPr>
      <w:pBdr/>
      <w:spacing w:after="57"/>
      <w:ind w:left="850"/>
    </w:pPr>
  </w:style>
  <w:style w:type="paragraph" w:styleId="1026">
    <w:name w:val="toc 5"/>
    <w:basedOn w:val="827"/>
    <w:next w:val="827"/>
    <w:uiPriority w:val="39"/>
    <w:unhideWhenUsed/>
    <w:pPr>
      <w:pBdr/>
      <w:spacing w:after="57"/>
      <w:ind w:left="1134"/>
    </w:pPr>
  </w:style>
  <w:style w:type="paragraph" w:styleId="1027">
    <w:name w:val="toc 6"/>
    <w:basedOn w:val="827"/>
    <w:next w:val="827"/>
    <w:uiPriority w:val="39"/>
    <w:unhideWhenUsed/>
    <w:pPr>
      <w:pBdr/>
      <w:spacing w:after="57"/>
      <w:ind w:left="1417"/>
    </w:pPr>
  </w:style>
  <w:style w:type="paragraph" w:styleId="1028">
    <w:name w:val="toc 7"/>
    <w:basedOn w:val="827"/>
    <w:next w:val="827"/>
    <w:uiPriority w:val="39"/>
    <w:unhideWhenUsed/>
    <w:pPr>
      <w:pBdr/>
      <w:spacing w:after="57"/>
      <w:ind w:left="1701"/>
    </w:pPr>
  </w:style>
  <w:style w:type="paragraph" w:styleId="1029">
    <w:name w:val="toc 8"/>
    <w:basedOn w:val="827"/>
    <w:next w:val="827"/>
    <w:uiPriority w:val="39"/>
    <w:unhideWhenUsed/>
    <w:pPr>
      <w:pBdr/>
      <w:spacing w:after="57"/>
      <w:ind w:left="1984"/>
    </w:pPr>
  </w:style>
  <w:style w:type="paragraph" w:styleId="1030">
    <w:name w:val="toc 9"/>
    <w:basedOn w:val="827"/>
    <w:next w:val="827"/>
    <w:uiPriority w:val="39"/>
    <w:unhideWhenUsed/>
    <w:pPr>
      <w:pBdr/>
      <w:spacing w:after="57"/>
      <w:ind w:left="2268"/>
    </w:pPr>
  </w:style>
  <w:style w:type="paragraph" w:styleId="1031">
    <w:name w:val="TOC Heading"/>
    <w:uiPriority w:val="39"/>
    <w:unhideWhenUsed/>
    <w:pPr>
      <w:pBdr/>
      <w:spacing/>
      <w:ind/>
    </w:pPr>
  </w:style>
  <w:style w:type="paragraph" w:styleId="1032">
    <w:name w:val="table of figures"/>
    <w:basedOn w:val="827"/>
    <w:next w:val="827"/>
    <w:uiPriority w:val="99"/>
    <w:unhideWhenUsed/>
    <w:pPr>
      <w:pBdr/>
      <w:spacing w:after="0"/>
      <w:ind/>
    </w:pPr>
  </w:style>
  <w:style w:type="character" w:styleId="1033">
    <w:name w:val="Strong"/>
    <w:basedOn w:val="837"/>
    <w:uiPriority w:val="22"/>
    <w:qFormat/>
    <w:pPr>
      <w:pBdr/>
      <w:spacing/>
      <w:ind/>
    </w:pPr>
    <w:rPr>
      <w:b/>
      <w:bCs/>
    </w:rPr>
  </w:style>
  <w:style w:type="paragraph" w:styleId="1034">
    <w:name w:val="Normal (Web)"/>
    <w:basedOn w:val="827"/>
    <w:uiPriority w:val="99"/>
    <w:unhideWhenUsed/>
    <w:pPr>
      <w:pBdr/>
      <w:spacing w:after="100" w:afterAutospacing="1" w:before="100" w:beforeAutospacing="1" w:line="240" w:lineRule="auto"/>
      <w:ind/>
    </w:pPr>
    <w:rPr>
      <w:rFonts w:ascii="Times New Roman" w:hAnsi="Times New Roman" w:eastAsia="Times New Roman" w:cs="Times New Roman"/>
      <w:sz w:val="24"/>
      <w:szCs w:val="24"/>
      <w:lang w:eastAsia="pt-BR"/>
    </w:rPr>
  </w:style>
  <w:style w:type="paragraph" w:styleId="1035">
    <w:name w:val="Body Text 2"/>
    <w:basedOn w:val="827"/>
    <w:link w:val="1036"/>
    <w:pPr>
      <w:pBdr/>
      <w:spacing w:after="120" w:line="480" w:lineRule="auto"/>
      <w:ind/>
    </w:pPr>
    <w:rPr>
      <w:rFonts w:ascii="Times New Roman" w:hAnsi="Times New Roman" w:eastAsia="Times New Roman" w:cs="Times New Roman"/>
      <w:sz w:val="24"/>
      <w:szCs w:val="24"/>
      <w:lang w:eastAsia="pt-BR"/>
    </w:rPr>
  </w:style>
  <w:style w:type="character" w:styleId="1036" w:customStyle="1">
    <w:name w:val="Corpo de texto 2 Char"/>
    <w:basedOn w:val="837"/>
    <w:link w:val="1035"/>
    <w:pPr>
      <w:pBdr/>
      <w:spacing/>
      <w:ind/>
    </w:pPr>
    <w:rPr>
      <w:rFonts w:ascii="Times New Roman" w:hAnsi="Times New Roman" w:eastAsia="Times New Roman" w:cs="Times New Roman"/>
      <w:sz w:val="24"/>
      <w:szCs w:val="24"/>
      <w:lang w:eastAsia="pt-BR"/>
    </w:rPr>
  </w:style>
  <w:style w:type="paragraph" w:styleId="1037" w:customStyle="1">
    <w:name w:val="Título 21"/>
    <w:uiPriority w:val="1"/>
    <w:qFormat/>
    <w:pPr>
      <w:keepNext w:val="true"/>
      <w:numPr>
        <w:ilvl w:val="1"/>
        <w:numId w:val="2"/>
      </w:numPr>
      <w:pBdr>
        <w:top w:val="none" w:color="000000" w:sz="4" w:space="0"/>
        <w:left w:val="none" w:color="000000" w:sz="4" w:space="0"/>
        <w:bottom w:val="none" w:color="000000" w:sz="4" w:space="0"/>
        <w:right w:val="none" w:color="000000" w:sz="4" w:space="0"/>
        <w:between w:val="none" w:color="000000" w:sz="4" w:space="0"/>
      </w:pBdr>
      <w:tabs>
        <w:tab w:val="left" w:leader="none" w:pos="960"/>
        <w:tab w:val="left" w:leader="none" w:pos="1134"/>
        <w:tab w:val="left" w:leader="none" w:pos="2880"/>
        <w:tab w:val="left" w:leader="none" w:pos="3840"/>
        <w:tab w:val="left" w:leader="none" w:pos="4800"/>
        <w:tab w:val="left" w:leader="none" w:pos="5760"/>
        <w:tab w:val="left" w:leader="none" w:pos="6720"/>
      </w:tabs>
      <w:spacing w:after="0" w:line="240" w:lineRule="auto"/>
      <w:ind w:firstLine="1418"/>
      <w:jc w:val="both"/>
      <w:outlineLvl w:val="1"/>
    </w:pPr>
    <w:rPr>
      <w:rFonts w:ascii="Times New Roman" w:hAnsi="Times New Roman" w:eastAsia="Times New Roman" w:cs="Times New Roman"/>
      <w:sz w:val="24"/>
      <w:szCs w:val="20"/>
      <w:lang w:val="en-US" w:eastAsia="pt-BR"/>
    </w:rPr>
  </w:style>
  <w:style w:type="paragraph" w:styleId="1038" w:customStyle="1">
    <w:name w:val="Corpo de texto1"/>
    <w:uiPriority w:val="1"/>
    <w:unhideWhenUsed/>
    <w:qFormat/>
    <w:pPr>
      <w:pBdr>
        <w:top w:val="none" w:color="000000" w:sz="4" w:space="0"/>
        <w:left w:val="none" w:color="000000" w:sz="4" w:space="0"/>
        <w:bottom w:val="none" w:color="000000" w:sz="4" w:space="0"/>
        <w:right w:val="none" w:color="000000" w:sz="4" w:space="0"/>
        <w:between w:val="none" w:color="000000" w:sz="4" w:space="0"/>
      </w:pBdr>
      <w:spacing w:after="120" w:line="240" w:lineRule="auto"/>
      <w:ind/>
    </w:pPr>
    <w:rPr>
      <w:rFonts w:ascii="Times New Roman" w:hAnsi="Times New Roman" w:eastAsia="Times New Roman" w:cs="Times New Roman"/>
      <w:sz w:val="24"/>
      <w:szCs w:val="20"/>
      <w:lang w:eastAsia="pt-BR"/>
    </w:rPr>
  </w:style>
  <w:style w:type="paragraph" w:styleId="1039" w:customStyle="1">
    <w:name w:val="Parágrafo da Lista1"/>
    <w:uiPriority w:val="1"/>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left="708"/>
    </w:pPr>
    <w:rPr>
      <w:rFonts w:ascii="Times New Roman" w:hAnsi="Times New Roman" w:eastAsia="Times New Roman" w:cs="Times New Roman"/>
      <w:sz w:val="24"/>
      <w:szCs w:val="20"/>
      <w:lang w:eastAsia="pt-BR"/>
    </w:rPr>
  </w:style>
  <w:style w:type="character" w:styleId="1040">
    <w:name w:val="Emphasis"/>
    <w:basedOn w:val="837"/>
    <w:uiPriority w:val="20"/>
    <w:qFormat/>
    <w:pPr>
      <w:pBdr/>
      <w:spacing/>
      <w:ind/>
    </w:pPr>
    <w:rPr>
      <w:i/>
      <w:iCs/>
    </w:rPr>
  </w:style>
  <w:style w:type="paragraph" w:styleId="1041" w:customStyle="1">
    <w:name w:val="Corpo de texto2"/>
    <w:uiPriority w:val="1"/>
    <w:unhideWhenUsed/>
    <w:qFormat/>
    <w:pPr>
      <w:pBdr>
        <w:top w:val="none" w:color="000000" w:sz="4" w:space="0"/>
        <w:left w:val="none" w:color="000000" w:sz="4" w:space="0"/>
        <w:bottom w:val="none" w:color="000000" w:sz="4" w:space="0"/>
        <w:right w:val="none" w:color="000000" w:sz="4" w:space="0"/>
        <w:between w:val="none" w:color="000000" w:sz="4" w:space="0"/>
      </w:pBdr>
      <w:spacing w:after="120" w:line="240" w:lineRule="auto"/>
      <w:ind/>
    </w:pPr>
    <w:rPr>
      <w:rFonts w:ascii="Times New Roman" w:hAnsi="Times New Roman" w:eastAsia="Times New Roman" w:cs="Times New Roman"/>
      <w:sz w:val="24"/>
      <w:szCs w:val="20"/>
      <w:lang w:eastAsia="pt-BR"/>
    </w:rPr>
  </w:style>
  <w:style w:type="paragraph" w:styleId="1042" w:customStyle="1">
    <w:name w:val="Parágrafo da Lista2"/>
    <w:uiPriority w:val="1"/>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left="708"/>
    </w:pPr>
    <w:rPr>
      <w:rFonts w:ascii="Times New Roman" w:hAnsi="Times New Roman" w:eastAsia="Times New Roman" w:cs="Times New Roman"/>
      <w:sz w:val="24"/>
      <w:szCs w:val="20"/>
      <w:lang w:eastAsia="pt-BR"/>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Arial"/>
        <a:cs typeface="Arial"/>
      </a:majorFont>
      <a:minorFont>
        <a:latin typeface="Calibri"/>
        <a:ea typeface="Arial"/>
        <a:cs typeface="Arial"/>
      </a:minorFont>
    </a:fontScheme>
    <a:fmtScheme name="Escritório">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ONLYOFFICE/9.1.0.167</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Eliano dos Santos Cardoso</dc:creator>
  <cp:keywords/>
  <dc:description/>
  <cp:revision>40</cp:revision>
  <dcterms:created xsi:type="dcterms:W3CDTF">2025-11-18T13:04:00Z</dcterms:created>
  <dcterms:modified xsi:type="dcterms:W3CDTF">2026-03-04T12:47:02Z</dcterms:modified>
</cp:coreProperties>
</file>