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802" w:rsidRDefault="00604802" w:rsidP="00604802">
      <w:bookmarkStart w:id="0" w:name="OLE_LINK21"/>
      <w:bookmarkStart w:id="1" w:name="OLE_LINK22"/>
    </w:p>
    <w:p w:rsidR="00604802" w:rsidRDefault="00604802" w:rsidP="00604802">
      <w:pPr>
        <w:pStyle w:val="Ttulo4"/>
        <w:rPr>
          <w:b w:val="0"/>
          <w:sz w:val="48"/>
        </w:rPr>
      </w:pPr>
      <w:r>
        <w:rPr>
          <w:b w:val="0"/>
          <w:sz w:val="48"/>
        </w:rPr>
        <w:t>MOÇÃO Nº 0</w:t>
      </w:r>
      <w:r>
        <w:rPr>
          <w:b w:val="0"/>
          <w:sz w:val="48"/>
        </w:rPr>
        <w:t>30</w:t>
      </w:r>
      <w:bookmarkStart w:id="2" w:name="_GoBack"/>
      <w:bookmarkEnd w:id="2"/>
      <w:r>
        <w:rPr>
          <w:b w:val="0"/>
          <w:sz w:val="48"/>
        </w:rPr>
        <w:t>/2017</w:t>
      </w:r>
    </w:p>
    <w:p w:rsidR="00604802" w:rsidRDefault="00604802" w:rsidP="00604802">
      <w:pPr>
        <w:shd w:val="clear" w:color="auto" w:fill="FFFFFF"/>
        <w:spacing w:before="300" w:after="375"/>
        <w:ind w:right="300"/>
        <w:jc w:val="both"/>
        <w:outlineLvl w:val="0"/>
        <w:rPr>
          <w:rFonts w:eastAsia="Times New Roman"/>
          <w:bCs/>
          <w:color w:val="333333"/>
          <w:kern w:val="36"/>
          <w:sz w:val="28"/>
          <w:szCs w:val="28"/>
          <w:lang w:eastAsia="pt-BR"/>
        </w:rPr>
      </w:pPr>
      <w:r>
        <w:t>Cons</w:t>
      </w:r>
      <w:r>
        <w:rPr>
          <w:rFonts w:eastAsia="Times New Roman"/>
          <w:bCs/>
          <w:color w:val="333333"/>
          <w:kern w:val="36"/>
          <w:sz w:val="28"/>
          <w:szCs w:val="28"/>
          <w:lang w:eastAsia="pt-BR"/>
        </w:rPr>
        <w:t>iderando que o art. 22 da Lei Municipal nº 1.724/2001 – Código Tributário do Município preconiza a figura do lançamento do imposto distinto, um para cada unidade autônoma, ainda que contíguas ou vizinhas e de propriedade do mesmo contribuinte;</w:t>
      </w:r>
    </w:p>
    <w:p w:rsidR="00604802" w:rsidRDefault="00604802" w:rsidP="00604802">
      <w:pPr>
        <w:shd w:val="clear" w:color="auto" w:fill="FFFFFF"/>
        <w:spacing w:before="300" w:after="375"/>
        <w:ind w:right="300"/>
        <w:jc w:val="both"/>
        <w:outlineLvl w:val="0"/>
        <w:rPr>
          <w:rFonts w:eastAsia="Times New Roman"/>
          <w:bCs/>
          <w:color w:val="333333"/>
          <w:kern w:val="36"/>
          <w:sz w:val="28"/>
          <w:szCs w:val="28"/>
          <w:lang w:eastAsia="pt-BR"/>
        </w:rPr>
      </w:pPr>
      <w:r>
        <w:rPr>
          <w:rFonts w:eastAsia="Times New Roman"/>
          <w:bCs/>
          <w:color w:val="333333"/>
          <w:kern w:val="36"/>
          <w:sz w:val="28"/>
          <w:szCs w:val="28"/>
          <w:lang w:eastAsia="pt-BR"/>
        </w:rPr>
        <w:t>Considerando que unidade autônoma é aquela que permite uma ocupação ou utilização privativa e que seu acesso se faça independentemente das demais ou igualmente com as demais, por meio de áreas de acesso ou circulação comuns a todos, mas nunca através ou por dentro de outras;</w:t>
      </w:r>
    </w:p>
    <w:p w:rsidR="00604802" w:rsidRDefault="00604802" w:rsidP="00604802">
      <w:pPr>
        <w:shd w:val="clear" w:color="auto" w:fill="FFFFFF"/>
        <w:spacing w:before="300" w:after="375"/>
        <w:ind w:right="300"/>
        <w:jc w:val="both"/>
        <w:outlineLvl w:val="0"/>
        <w:rPr>
          <w:rFonts w:eastAsia="Times New Roman"/>
          <w:bCs/>
          <w:color w:val="333333"/>
          <w:kern w:val="36"/>
          <w:sz w:val="28"/>
          <w:szCs w:val="28"/>
          <w:lang w:eastAsia="pt-BR"/>
        </w:rPr>
      </w:pPr>
      <w:r>
        <w:rPr>
          <w:rFonts w:eastAsia="Times New Roman"/>
          <w:bCs/>
          <w:color w:val="333333"/>
          <w:kern w:val="36"/>
          <w:sz w:val="28"/>
          <w:szCs w:val="28"/>
          <w:lang w:eastAsia="pt-BR"/>
        </w:rPr>
        <w:t>Considerando que se entende como unidade autônoma toda construção existente num mesmo imóvel urbano e, separadas fisicamente, constituindo uma nova célula familiar;</w:t>
      </w:r>
    </w:p>
    <w:p w:rsidR="00604802" w:rsidRDefault="00604802" w:rsidP="00604802">
      <w:pPr>
        <w:shd w:val="clear" w:color="auto" w:fill="FFFFFF"/>
        <w:spacing w:before="300" w:after="375"/>
        <w:ind w:right="300"/>
        <w:jc w:val="both"/>
        <w:outlineLvl w:val="0"/>
        <w:rPr>
          <w:rFonts w:eastAsia="Times New Roman"/>
          <w:bCs/>
          <w:color w:val="333333"/>
          <w:kern w:val="36"/>
          <w:sz w:val="28"/>
          <w:szCs w:val="28"/>
          <w:lang w:eastAsia="pt-BR"/>
        </w:rPr>
      </w:pPr>
      <w:r>
        <w:rPr>
          <w:rFonts w:eastAsia="Times New Roman"/>
          <w:bCs/>
          <w:color w:val="333333"/>
          <w:kern w:val="36"/>
          <w:sz w:val="28"/>
          <w:szCs w:val="28"/>
          <w:lang w:eastAsia="pt-BR"/>
        </w:rPr>
        <w:t>Considerando que existem no Município inúmeros casos de imóveis onde agregam mais de uma construção (edificação), que por suas os “contribuintes” tem interesse no cadastramento e lançamento do IPTU individual, ou seja, por unidade autônoma, com intuito de evitar confusões na hora de quitar o imposto;</w:t>
      </w:r>
    </w:p>
    <w:p w:rsidR="00604802" w:rsidRDefault="00604802" w:rsidP="00604802">
      <w:pPr>
        <w:shd w:val="clear" w:color="auto" w:fill="FFFFFF"/>
        <w:spacing w:before="300" w:after="375"/>
        <w:ind w:right="300"/>
        <w:jc w:val="both"/>
        <w:outlineLvl w:val="0"/>
        <w:rPr>
          <w:rFonts w:eastAsia="Times New Roman"/>
          <w:bCs/>
          <w:color w:val="333333"/>
          <w:kern w:val="36"/>
          <w:sz w:val="28"/>
          <w:szCs w:val="28"/>
          <w:lang w:eastAsia="pt-BR"/>
        </w:rPr>
      </w:pPr>
      <w:r>
        <w:rPr>
          <w:rFonts w:eastAsia="Times New Roman"/>
          <w:bCs/>
          <w:color w:val="333333"/>
          <w:kern w:val="36"/>
          <w:sz w:val="28"/>
          <w:szCs w:val="28"/>
          <w:lang w:eastAsia="pt-BR"/>
        </w:rPr>
        <w:t>Considerando que a grande maioria desses imóveis, por possuir mais de uma construção, se adota o sistema de número X, casa dois, três e assim por diante, sendo essa já uma forma de classificar como unidade autônoma;</w:t>
      </w:r>
    </w:p>
    <w:p w:rsidR="00604802" w:rsidRDefault="00604802" w:rsidP="00604802">
      <w:pPr>
        <w:shd w:val="clear" w:color="auto" w:fill="FFFFFF"/>
        <w:spacing w:before="300" w:after="375"/>
        <w:ind w:right="300"/>
        <w:jc w:val="both"/>
        <w:outlineLvl w:val="0"/>
        <w:rPr>
          <w:rFonts w:eastAsia="Times New Roman"/>
          <w:bCs/>
          <w:color w:val="333333"/>
          <w:kern w:val="36"/>
          <w:sz w:val="28"/>
          <w:szCs w:val="28"/>
          <w:lang w:eastAsia="pt-BR"/>
        </w:rPr>
      </w:pPr>
      <w:r>
        <w:rPr>
          <w:rFonts w:eastAsia="Times New Roman"/>
          <w:bCs/>
          <w:color w:val="333333"/>
          <w:kern w:val="36"/>
          <w:sz w:val="28"/>
          <w:szCs w:val="28"/>
          <w:lang w:eastAsia="pt-BR"/>
        </w:rPr>
        <w:t xml:space="preserve">Considerando que no arcabouço jurídico do Município por um bom tempo permaneceu a Lei nº 1.527/99, que devido </w:t>
      </w:r>
      <w:proofErr w:type="gramStart"/>
      <w:r>
        <w:rPr>
          <w:rFonts w:eastAsia="Times New Roman"/>
          <w:bCs/>
          <w:color w:val="333333"/>
          <w:kern w:val="36"/>
          <w:sz w:val="28"/>
          <w:szCs w:val="28"/>
          <w:lang w:eastAsia="pt-BR"/>
        </w:rPr>
        <w:t>a</w:t>
      </w:r>
      <w:proofErr w:type="gramEnd"/>
      <w:r>
        <w:rPr>
          <w:rFonts w:eastAsia="Times New Roman"/>
          <w:bCs/>
          <w:color w:val="333333"/>
          <w:kern w:val="36"/>
          <w:sz w:val="28"/>
          <w:szCs w:val="28"/>
          <w:lang w:eastAsia="pt-BR"/>
        </w:rPr>
        <w:t xml:space="preserve"> revogação da Lei nº 500/83 com a sanção do atual Código Tributário do Município, Lei nº 1724/2001, salvo melhor juízo revogou tacitamente o diploma legal que </w:t>
      </w:r>
      <w:r>
        <w:rPr>
          <w:rFonts w:eastAsia="Times New Roman"/>
          <w:bCs/>
          <w:color w:val="333333"/>
          <w:kern w:val="36"/>
          <w:sz w:val="28"/>
          <w:szCs w:val="28"/>
          <w:lang w:eastAsia="pt-BR"/>
        </w:rPr>
        <w:lastRenderedPageBreak/>
        <w:t>trata especificamente do lançamento por unidade autônoma ou por economia;</w:t>
      </w:r>
    </w:p>
    <w:p w:rsidR="00604802" w:rsidRDefault="00604802" w:rsidP="00604802">
      <w:pPr>
        <w:shd w:val="clear" w:color="auto" w:fill="FFFFFF"/>
        <w:spacing w:before="300" w:after="375"/>
        <w:ind w:right="300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="Times New Roman"/>
          <w:bCs/>
          <w:color w:val="333333"/>
          <w:kern w:val="36"/>
          <w:sz w:val="28"/>
          <w:szCs w:val="28"/>
          <w:lang w:eastAsia="pt-BR"/>
        </w:rPr>
        <w:t xml:space="preserve">Com base no exposto, a </w:t>
      </w:r>
      <w:r>
        <w:rPr>
          <w:color w:val="444444"/>
          <w:sz w:val="28"/>
          <w:szCs w:val="28"/>
        </w:rPr>
        <w:t xml:space="preserve">Câmara Municipal de Embu Guaçu, </w:t>
      </w:r>
      <w:r>
        <w:rPr>
          <w:sz w:val="28"/>
          <w:szCs w:val="28"/>
        </w:rPr>
        <w:t xml:space="preserve">nos termos do inciso IV, do artigo 152 da Resolução nº 001/91, apresenta </w:t>
      </w:r>
      <w:r>
        <w:rPr>
          <w:b/>
          <w:sz w:val="28"/>
          <w:szCs w:val="28"/>
        </w:rPr>
        <w:t>MOÇÃO DE APELO</w:t>
      </w:r>
      <w:r>
        <w:rPr>
          <w:sz w:val="28"/>
          <w:szCs w:val="28"/>
        </w:rPr>
        <w:t xml:space="preserve"> a Prefeita do Município de Embu Guaçu, que determine ao Secretário Municipal de Finanças e Orçamento em parceria com a Procuradoria Geral do Município, a elaboração de DECRETO regulamentando o disposto no art. 22 da Lei Municipal nº 1724/2001 – Código Tributário do Município, ou seja, normas, procedimentos e exigências para que o contribuinte possa requerer o lançamento do IPTU por unidade autônoma, deixando claro que o respectivo lançamento é exclusivamente para fins tributários, não caracterizando, autorizando ou reconhecendo como parcelamento de solo.</w:t>
      </w:r>
    </w:p>
    <w:p w:rsidR="00604802" w:rsidRDefault="00604802" w:rsidP="00604802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Que do deliberado pelo Excelso Plenário, seja dada ciência a Prefeita do Município de Embu Guaçu e ao Secretário Municipal de Finanças e Orçamento. </w:t>
      </w:r>
    </w:p>
    <w:p w:rsidR="00604802" w:rsidRDefault="00604802" w:rsidP="00604802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Embu Guaçu, 10 de abril de 2017.</w:t>
      </w:r>
    </w:p>
    <w:p w:rsidR="00604802" w:rsidRDefault="00604802" w:rsidP="00604802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sz w:val="28"/>
          <w:szCs w:val="28"/>
        </w:rPr>
      </w:pPr>
    </w:p>
    <w:p w:rsidR="00604802" w:rsidRDefault="00604802" w:rsidP="00604802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Douglas da </w:t>
      </w:r>
      <w:proofErr w:type="spellStart"/>
      <w:r>
        <w:rPr>
          <w:sz w:val="28"/>
          <w:szCs w:val="28"/>
        </w:rPr>
        <w:t>Analice</w:t>
      </w:r>
      <w:proofErr w:type="spellEnd"/>
    </w:p>
    <w:p w:rsidR="00604802" w:rsidRDefault="00604802" w:rsidP="00604802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Calibri" w:hAnsi="Calibri"/>
          <w:color w:val="333333"/>
        </w:rPr>
      </w:pPr>
      <w:r>
        <w:rPr>
          <w:sz w:val="28"/>
          <w:szCs w:val="28"/>
        </w:rPr>
        <w:t>Vereador-PDT</w:t>
      </w:r>
    </w:p>
    <w:p w:rsidR="00604802" w:rsidRDefault="00604802" w:rsidP="00604802"/>
    <w:p w:rsidR="00604802" w:rsidRDefault="00604802" w:rsidP="00604802">
      <w:r>
        <w:t>Apoio:</w:t>
      </w:r>
    </w:p>
    <w:p w:rsidR="00604802" w:rsidRDefault="00604802" w:rsidP="00604802"/>
    <w:p w:rsidR="00604802" w:rsidRDefault="00604802" w:rsidP="00604802"/>
    <w:p w:rsidR="00604802" w:rsidRDefault="00604802" w:rsidP="00604802"/>
    <w:p w:rsidR="00604802" w:rsidRDefault="00604802" w:rsidP="00604802"/>
    <w:p w:rsidR="00604802" w:rsidRDefault="00604802" w:rsidP="00604802"/>
    <w:p w:rsidR="00604802" w:rsidRPr="00BB4B06" w:rsidRDefault="00604802" w:rsidP="00604802"/>
    <w:bookmarkEnd w:id="0"/>
    <w:bookmarkEnd w:id="1"/>
    <w:p w:rsidR="00604802" w:rsidRDefault="00604802" w:rsidP="00604802"/>
    <w:p w:rsidR="00604802" w:rsidRDefault="00604802" w:rsidP="00604802"/>
    <w:p w:rsidR="00B76839" w:rsidRDefault="00B76839"/>
    <w:sectPr w:rsidR="00B76839" w:rsidSect="00D73780">
      <w:headerReference w:type="default" r:id="rId5"/>
      <w:footerReference w:type="default" r:id="rId6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  <w:szCs w:val="16"/>
      </w:rPr>
      <w:id w:val="-413701769"/>
      <w:docPartObj>
        <w:docPartGallery w:val="Page Numbers (Bottom of Page)"/>
        <w:docPartUnique/>
      </w:docPartObj>
    </w:sdtPr>
    <w:sdtEndPr/>
    <w:sdtContent>
      <w:p w:rsidR="007F723E" w:rsidRPr="006F46F5" w:rsidRDefault="00604802">
        <w:pPr>
          <w:pStyle w:val="Rodap"/>
          <w:jc w:val="center"/>
          <w:rPr>
            <w:sz w:val="16"/>
            <w:szCs w:val="16"/>
          </w:rPr>
        </w:pPr>
        <w:r w:rsidRPr="006F46F5">
          <w:rPr>
            <w:sz w:val="16"/>
            <w:szCs w:val="16"/>
          </w:rPr>
          <w:fldChar w:fldCharType="begin"/>
        </w:r>
        <w:r w:rsidRPr="006F46F5">
          <w:rPr>
            <w:sz w:val="16"/>
            <w:szCs w:val="16"/>
          </w:rPr>
          <w:instrText>PAGE   \* MERGEFORMAT</w:instrText>
        </w:r>
        <w:r w:rsidRPr="006F46F5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</w:t>
        </w:r>
        <w:r w:rsidRPr="006F46F5">
          <w:rPr>
            <w:sz w:val="16"/>
            <w:szCs w:val="16"/>
          </w:rPr>
          <w:fldChar w:fldCharType="end"/>
        </w:r>
      </w:p>
    </w:sdtContent>
  </w:sdt>
  <w:p w:rsidR="006D3F3F" w:rsidRDefault="00604802">
    <w:pPr>
      <w:pStyle w:val="Rodap"/>
      <w:jc w:val="right"/>
      <w:rPr>
        <w:color w:val="000000"/>
        <w:sz w:val="1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F3F" w:rsidRDefault="00604802">
    <w:pPr>
      <w:pStyle w:val="Ttulo2"/>
    </w:pPr>
    <w:r>
      <w:t>PODER LEGISLATIVO</w:t>
    </w:r>
  </w:p>
  <w:p w:rsidR="006D3F3F" w:rsidRDefault="00604802">
    <w:pPr>
      <w:jc w:val="center"/>
    </w:pPr>
    <w:r>
      <w:rPr>
        <w:noProof/>
        <w:lang w:eastAsia="pt-BR"/>
      </w:rPr>
      <w:drawing>
        <wp:inline distT="0" distB="0" distL="0" distR="0" wp14:anchorId="4CBEBFCA" wp14:editId="4CD08644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D3F3F" w:rsidRDefault="00604802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D3F3F" w:rsidRDefault="00604802">
    <w:pPr>
      <w:pStyle w:val="Ttulo3"/>
    </w:pPr>
    <w:r>
      <w:t>PALÁCIO VEREADOR ALBERTO RIBEIRO PINTO</w:t>
    </w:r>
  </w:p>
  <w:p w:rsidR="006D3F3F" w:rsidRDefault="00604802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6D3F3F" w:rsidRDefault="00604802" w:rsidP="00D73780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 xml:space="preserve">mail </w:t>
    </w:r>
    <w:r>
      <w:rPr>
        <w:rFonts w:ascii="Arial" w:hAnsi="Arial"/>
        <w:b/>
        <w:color w:val="000000"/>
        <w:spacing w:val="30"/>
        <w:sz w:val="16"/>
      </w:rPr>
      <w:t>camaraembuguacu@camaraembuguacu.sp.gov.br</w:t>
    </w:r>
  </w:p>
  <w:p w:rsidR="006D3F3F" w:rsidRDefault="00604802">
    <w:pPr>
      <w:jc w:val="center"/>
      <w:rPr>
        <w:rFonts w:ascii="Arial" w:hAnsi="Arial"/>
        <w:b/>
        <w:color w:val="000000"/>
        <w:spacing w:val="30"/>
        <w:sz w:val="16"/>
      </w:rPr>
    </w:pPr>
  </w:p>
  <w:p w:rsidR="006D3F3F" w:rsidRPr="007F723E" w:rsidRDefault="00604802">
    <w:pPr>
      <w:jc w:val="center"/>
      <w:rPr>
        <w:b/>
        <w:color w:val="000000"/>
        <w:spacing w:val="3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802"/>
    <w:rsid w:val="00604802"/>
    <w:rsid w:val="00B7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480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60480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60480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60480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0480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60480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60480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60480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60480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04802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480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4802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480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60480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60480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60480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0480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60480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60480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60480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60480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04802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480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4802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2115</Characters>
  <Application>Microsoft Office Word</Application>
  <DocSecurity>0</DocSecurity>
  <Lines>17</Lines>
  <Paragraphs>5</Paragraphs>
  <ScaleCrop>false</ScaleCrop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1</cp:revision>
  <dcterms:created xsi:type="dcterms:W3CDTF">2017-04-11T18:19:00Z</dcterms:created>
  <dcterms:modified xsi:type="dcterms:W3CDTF">2017-04-11T18:19:00Z</dcterms:modified>
</cp:coreProperties>
</file>