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5D05B" w14:textId="77777777" w:rsidR="00D67372" w:rsidRPr="00D67372" w:rsidRDefault="00D67372" w:rsidP="00D67372">
      <w:pPr>
        <w:pStyle w:val="Normal1"/>
        <w:jc w:val="center"/>
        <w:rPr>
          <w:b/>
          <w:bCs/>
          <w:sz w:val="24"/>
          <w:szCs w:val="24"/>
        </w:rPr>
      </w:pPr>
      <w:r w:rsidRPr="00D67372">
        <w:rPr>
          <w:b/>
          <w:bCs/>
          <w:sz w:val="24"/>
          <w:szCs w:val="24"/>
        </w:rPr>
        <w:t>INDICAÇÃO Nº_____ /2026</w:t>
      </w:r>
    </w:p>
    <w:p w14:paraId="22472DB8" w14:textId="77777777" w:rsidR="00D67372" w:rsidRDefault="00D67372" w:rsidP="00D67372">
      <w:pPr>
        <w:pStyle w:val="Normal1"/>
      </w:pPr>
    </w:p>
    <w:p w14:paraId="1FB1AC96" w14:textId="77777777" w:rsidR="00D67372" w:rsidRDefault="00D67372" w:rsidP="00D67372">
      <w:pPr>
        <w:spacing w:line="240" w:lineRule="auto"/>
        <w:rPr>
          <w:sz w:val="24"/>
          <w:szCs w:val="24"/>
        </w:rPr>
      </w:pPr>
    </w:p>
    <w:p w14:paraId="7E36A791" w14:textId="77777777" w:rsidR="00D67372" w:rsidRPr="00F27219" w:rsidRDefault="00D67372" w:rsidP="00D67372">
      <w:pPr>
        <w:spacing w:line="240" w:lineRule="auto"/>
        <w:jc w:val="both"/>
        <w:rPr>
          <w:b/>
          <w:bCs/>
          <w:color w:val="212529"/>
          <w:sz w:val="24"/>
          <w:szCs w:val="24"/>
        </w:rPr>
      </w:pPr>
      <w:r>
        <w:rPr>
          <w:sz w:val="24"/>
          <w:szCs w:val="24"/>
        </w:rPr>
        <w:t xml:space="preserve">A Vereadora que a presente subscreve, depois de observar as normas regimentais, </w:t>
      </w:r>
      <w:r>
        <w:rPr>
          <w:b/>
          <w:bCs/>
          <w:sz w:val="24"/>
          <w:szCs w:val="24"/>
        </w:rPr>
        <w:t>I</w:t>
      </w:r>
      <w:r>
        <w:rPr>
          <w:b/>
          <w:bCs/>
          <w:color w:val="212529"/>
          <w:sz w:val="24"/>
          <w:szCs w:val="24"/>
        </w:rPr>
        <w:t xml:space="preserve">NDICA </w:t>
      </w:r>
      <w:r>
        <w:rPr>
          <w:color w:val="212529"/>
          <w:sz w:val="24"/>
          <w:szCs w:val="24"/>
        </w:rPr>
        <w:t>ao Excelentíssimo Senhor Chefe do Poder Executivo Municipal, através do órgão competente da Administração Pública Municipal</w:t>
      </w:r>
      <w:r w:rsidRPr="000C018B">
        <w:rPr>
          <w:color w:val="212529"/>
          <w:sz w:val="24"/>
          <w:szCs w:val="24"/>
        </w:rPr>
        <w:t xml:space="preserve">, </w:t>
      </w:r>
      <w:r w:rsidRPr="000C018B">
        <w:rPr>
          <w:color w:val="212529"/>
          <w:sz w:val="24"/>
          <w:szCs w:val="24"/>
          <w:shd w:val="clear" w:color="auto" w:fill="FFFFFF"/>
        </w:rPr>
        <w:t xml:space="preserve">que seja realizado estudo técnico </w:t>
      </w:r>
      <w:r>
        <w:rPr>
          <w:color w:val="212529"/>
          <w:sz w:val="24"/>
          <w:szCs w:val="24"/>
          <w:shd w:val="clear" w:color="auto" w:fill="FFFFFF"/>
        </w:rPr>
        <w:t xml:space="preserve">de viabilidade </w:t>
      </w:r>
      <w:r w:rsidRPr="000C018B">
        <w:rPr>
          <w:color w:val="212529"/>
          <w:sz w:val="24"/>
          <w:szCs w:val="24"/>
          <w:shd w:val="clear" w:color="auto" w:fill="FFFFFF"/>
        </w:rPr>
        <w:t>para o Tombamento por interesse histórico, artístico e cultural, como patrimônio arquitetônico e cultural do Município de Macaé</w:t>
      </w:r>
      <w:r>
        <w:rPr>
          <w:color w:val="212529"/>
          <w:sz w:val="24"/>
          <w:szCs w:val="24"/>
          <w:shd w:val="clear" w:color="auto" w:fill="FFFFFF"/>
        </w:rPr>
        <w:t>,</w:t>
      </w:r>
      <w:r w:rsidRPr="000C018B">
        <w:rPr>
          <w:color w:val="212529"/>
          <w:sz w:val="24"/>
          <w:szCs w:val="24"/>
          <w:shd w:val="clear" w:color="auto" w:fill="FFFFFF"/>
        </w:rPr>
        <w:t xml:space="preserve"> </w:t>
      </w:r>
      <w:r>
        <w:rPr>
          <w:color w:val="212529"/>
          <w:sz w:val="24"/>
          <w:szCs w:val="24"/>
          <w:shd w:val="clear" w:color="auto" w:fill="FFFFFF"/>
        </w:rPr>
        <w:t xml:space="preserve">a edificação principal do </w:t>
      </w:r>
      <w:r w:rsidRPr="000C018B">
        <w:rPr>
          <w:color w:val="212529"/>
          <w:sz w:val="24"/>
          <w:szCs w:val="24"/>
          <w:shd w:val="clear" w:color="auto" w:fill="FFFFFF"/>
        </w:rPr>
        <w:t xml:space="preserve">Instituto Nossa Senhora da Glória (INSG - Colégio Castelo), </w:t>
      </w:r>
      <w:r w:rsidRPr="001F2905">
        <w:rPr>
          <w:color w:val="212529"/>
          <w:sz w:val="24"/>
          <w:szCs w:val="24"/>
        </w:rPr>
        <w:t>antigo Solar Monte Elísio, situado neste Município.</w:t>
      </w:r>
    </w:p>
    <w:p w14:paraId="11C764E8" w14:textId="77777777" w:rsidR="00D67372" w:rsidRPr="000C018B" w:rsidRDefault="00D67372" w:rsidP="00D67372">
      <w:pPr>
        <w:spacing w:line="240" w:lineRule="auto"/>
        <w:jc w:val="both"/>
        <w:rPr>
          <w:color w:val="212529"/>
          <w:sz w:val="24"/>
          <w:szCs w:val="24"/>
          <w:shd w:val="clear" w:color="auto" w:fill="FFFFFF"/>
        </w:rPr>
      </w:pPr>
    </w:p>
    <w:p w14:paraId="2976DC3E" w14:textId="77777777" w:rsidR="00D67372" w:rsidRDefault="00D67372" w:rsidP="00D67372">
      <w:pPr>
        <w:spacing w:line="240" w:lineRule="auto"/>
        <w:jc w:val="both"/>
        <w:rPr>
          <w:rFonts w:ascii="Segoe UI" w:hAnsi="Segoe UI" w:cs="Segoe UI"/>
          <w:color w:val="212529"/>
          <w:shd w:val="clear" w:color="auto" w:fill="FFFFFF"/>
        </w:rPr>
      </w:pPr>
    </w:p>
    <w:p w14:paraId="4FEC06B2" w14:textId="77777777" w:rsidR="00D67372" w:rsidRDefault="00D67372" w:rsidP="00D67372">
      <w:pPr>
        <w:shd w:val="clear" w:color="auto" w:fill="FFFFFF"/>
        <w:spacing w:line="240" w:lineRule="auto"/>
        <w:jc w:val="both"/>
        <w:rPr>
          <w:rFonts w:eastAsia="Times New Roman"/>
          <w:color w:val="0A0A0A"/>
          <w:sz w:val="24"/>
          <w:szCs w:val="24"/>
        </w:rPr>
      </w:pPr>
      <w:r w:rsidRPr="000C018B">
        <w:rPr>
          <w:rFonts w:eastAsia="Times New Roman"/>
          <w:color w:val="0A0A0A"/>
          <w:sz w:val="24"/>
          <w:szCs w:val="24"/>
        </w:rPr>
        <w:t>O Instituto Nossa Senhora da Glória</w:t>
      </w:r>
      <w:r>
        <w:rPr>
          <w:rFonts w:eastAsia="Times New Roman"/>
          <w:color w:val="0A0A0A"/>
          <w:sz w:val="24"/>
          <w:szCs w:val="24"/>
        </w:rPr>
        <w:t xml:space="preserve"> - Castelo</w:t>
      </w:r>
      <w:r w:rsidRPr="000C018B">
        <w:rPr>
          <w:rFonts w:eastAsia="Times New Roman"/>
          <w:color w:val="0A0A0A"/>
          <w:sz w:val="24"/>
          <w:szCs w:val="24"/>
        </w:rPr>
        <w:t xml:space="preserve">, foi fundado em 27 de julho de 1963 pelas Irmãs Salesianas. </w:t>
      </w:r>
    </w:p>
    <w:p w14:paraId="2CC9C224" w14:textId="77777777" w:rsidR="00D67372" w:rsidRDefault="00D67372" w:rsidP="00D67372">
      <w:pPr>
        <w:shd w:val="clear" w:color="auto" w:fill="FFFFFF"/>
        <w:spacing w:line="240" w:lineRule="auto"/>
        <w:jc w:val="both"/>
        <w:rPr>
          <w:rFonts w:eastAsia="Times New Roman"/>
          <w:color w:val="0A0A0A"/>
          <w:sz w:val="24"/>
          <w:szCs w:val="24"/>
        </w:rPr>
      </w:pPr>
    </w:p>
    <w:p w14:paraId="5329B2FF" w14:textId="77777777" w:rsidR="00D67372" w:rsidRPr="000C018B" w:rsidRDefault="00D67372" w:rsidP="00D67372">
      <w:pPr>
        <w:shd w:val="clear" w:color="auto" w:fill="FFFFFF"/>
        <w:spacing w:line="240" w:lineRule="auto"/>
        <w:jc w:val="both"/>
        <w:rPr>
          <w:rFonts w:eastAsia="Times New Roman"/>
          <w:color w:val="0A0A0A"/>
          <w:sz w:val="24"/>
          <w:szCs w:val="24"/>
        </w:rPr>
      </w:pPr>
      <w:r w:rsidRPr="000C018B">
        <w:rPr>
          <w:rFonts w:eastAsia="Times New Roman"/>
          <w:color w:val="0A0A0A"/>
          <w:sz w:val="24"/>
          <w:szCs w:val="24"/>
        </w:rPr>
        <w:t>A instituição instalou-se no histórico Solar Monte Elísio, construído no século XIX, consolidando-se como uma das escolas mais tradicionais da cidade</w:t>
      </w:r>
      <w:r>
        <w:rPr>
          <w:rFonts w:eastAsia="Times New Roman"/>
          <w:color w:val="0A0A0A"/>
          <w:sz w:val="24"/>
          <w:szCs w:val="24"/>
        </w:rPr>
        <w:t>.</w:t>
      </w:r>
    </w:p>
    <w:p w14:paraId="01C4CB44" w14:textId="77777777" w:rsidR="00D67372" w:rsidRDefault="00D67372" w:rsidP="00D67372">
      <w:pPr>
        <w:shd w:val="clear" w:color="auto" w:fill="FFFFFF"/>
        <w:spacing w:line="360" w:lineRule="atLeast"/>
        <w:rPr>
          <w:rFonts w:eastAsia="Times New Roman"/>
          <w:b/>
          <w:bCs/>
          <w:color w:val="0A0A0A"/>
          <w:sz w:val="24"/>
          <w:szCs w:val="24"/>
        </w:rPr>
      </w:pPr>
    </w:p>
    <w:p w14:paraId="75B68F05" w14:textId="77777777" w:rsidR="00D67372" w:rsidRPr="00F27219" w:rsidRDefault="00D67372" w:rsidP="00D67372">
      <w:pPr>
        <w:spacing w:line="240" w:lineRule="auto"/>
        <w:jc w:val="both"/>
        <w:rPr>
          <w:b/>
          <w:bCs/>
          <w:color w:val="212529"/>
          <w:sz w:val="24"/>
          <w:szCs w:val="24"/>
        </w:rPr>
      </w:pPr>
      <w:r w:rsidRPr="00F27219">
        <w:rPr>
          <w:b/>
          <w:bCs/>
          <w:color w:val="212529"/>
          <w:sz w:val="24"/>
          <w:szCs w:val="24"/>
        </w:rPr>
        <w:t>JUSTIFICATIVA</w:t>
      </w:r>
    </w:p>
    <w:p w14:paraId="7799B02C" w14:textId="77777777" w:rsidR="00D67372" w:rsidRPr="00F27219" w:rsidRDefault="00D67372" w:rsidP="00D67372">
      <w:pPr>
        <w:spacing w:line="240" w:lineRule="auto"/>
        <w:jc w:val="both"/>
        <w:rPr>
          <w:b/>
          <w:bCs/>
          <w:color w:val="212529"/>
          <w:sz w:val="24"/>
          <w:szCs w:val="24"/>
        </w:rPr>
      </w:pPr>
    </w:p>
    <w:p w14:paraId="5E087467" w14:textId="77777777" w:rsidR="00D67372" w:rsidRPr="001F2905" w:rsidRDefault="00D67372" w:rsidP="00D67372">
      <w:pPr>
        <w:spacing w:line="240" w:lineRule="auto"/>
        <w:jc w:val="both"/>
        <w:rPr>
          <w:color w:val="212529"/>
          <w:sz w:val="24"/>
          <w:szCs w:val="24"/>
        </w:rPr>
      </w:pPr>
      <w:r w:rsidRPr="001F2905">
        <w:rPr>
          <w:color w:val="212529"/>
          <w:sz w:val="24"/>
          <w:szCs w:val="24"/>
        </w:rPr>
        <w:t>A presente Indicação tem como finalidade promover a preservação do patrimônio histórico e cultural do Município de Macaé, por meio da análise técnica para eventual tombamento do prédio histórico onde atualmente funciona o Instituto Nossa Senhora da Glória (INSG – Colégio Castelo).</w:t>
      </w:r>
    </w:p>
    <w:p w14:paraId="05668D55" w14:textId="77777777" w:rsidR="00D67372" w:rsidRPr="001F2905" w:rsidRDefault="00D67372" w:rsidP="00D67372">
      <w:pPr>
        <w:spacing w:line="240" w:lineRule="auto"/>
        <w:jc w:val="both"/>
        <w:rPr>
          <w:color w:val="212529"/>
          <w:sz w:val="24"/>
          <w:szCs w:val="24"/>
        </w:rPr>
      </w:pPr>
    </w:p>
    <w:p w14:paraId="4A48974C" w14:textId="77777777" w:rsidR="00D67372" w:rsidRPr="001F2905" w:rsidRDefault="00D67372" w:rsidP="00D67372">
      <w:pPr>
        <w:spacing w:line="240" w:lineRule="auto"/>
        <w:jc w:val="both"/>
        <w:rPr>
          <w:color w:val="212529"/>
          <w:sz w:val="24"/>
          <w:szCs w:val="24"/>
        </w:rPr>
      </w:pPr>
      <w:r w:rsidRPr="001F2905">
        <w:rPr>
          <w:color w:val="212529"/>
          <w:sz w:val="24"/>
          <w:szCs w:val="24"/>
        </w:rPr>
        <w:t>O Instituto Nossa Senhora da Glória foi fundado em 27 de julho de 1963 pelas Filhas de Maria Auxiliadora (Irmãs Salesianas), consolidando-se como uma das mais tradicionais instituições de ensino do município. Sua instalação ocorreu no histórico Solar Monte Elísio, edificação construída no século XIX, originalmente residência de veraneio do Visconde de Araújo.</w:t>
      </w:r>
    </w:p>
    <w:p w14:paraId="5DE118E5" w14:textId="77777777" w:rsidR="00D67372" w:rsidRPr="001F2905" w:rsidRDefault="00D67372" w:rsidP="00D67372">
      <w:pPr>
        <w:spacing w:line="240" w:lineRule="auto"/>
        <w:jc w:val="both"/>
        <w:rPr>
          <w:color w:val="212529"/>
          <w:sz w:val="24"/>
          <w:szCs w:val="24"/>
        </w:rPr>
      </w:pPr>
    </w:p>
    <w:p w14:paraId="1F8504AD" w14:textId="77777777" w:rsidR="00D67372" w:rsidRPr="001F2905" w:rsidRDefault="00D67372" w:rsidP="00D67372">
      <w:pPr>
        <w:spacing w:line="240" w:lineRule="auto"/>
        <w:jc w:val="both"/>
        <w:rPr>
          <w:color w:val="212529"/>
          <w:sz w:val="24"/>
          <w:szCs w:val="24"/>
        </w:rPr>
      </w:pPr>
      <w:r w:rsidRPr="001F2905">
        <w:rPr>
          <w:color w:val="212529"/>
          <w:sz w:val="24"/>
          <w:szCs w:val="24"/>
        </w:rPr>
        <w:t>Após permanecer cerca de 18 anos abandonado, o imóvel foi restaurado e passou a sediar o colégio, preservando características arquitetônicas marcantes que lhe renderam a denominação popular de “Castelo”, em razão de sua imponência estética e valor arquitetônico.</w:t>
      </w:r>
    </w:p>
    <w:p w14:paraId="4D112183" w14:textId="77777777" w:rsidR="00D67372" w:rsidRPr="001F2905" w:rsidRDefault="00D67372" w:rsidP="00D67372">
      <w:pPr>
        <w:spacing w:line="240" w:lineRule="auto"/>
        <w:jc w:val="both"/>
        <w:rPr>
          <w:color w:val="212529"/>
          <w:sz w:val="24"/>
          <w:szCs w:val="24"/>
        </w:rPr>
      </w:pPr>
    </w:p>
    <w:p w14:paraId="253F6F11" w14:textId="77777777" w:rsidR="00D67372" w:rsidRPr="001F2905" w:rsidRDefault="00D67372" w:rsidP="00D67372">
      <w:pPr>
        <w:spacing w:line="240" w:lineRule="auto"/>
        <w:jc w:val="both"/>
        <w:rPr>
          <w:color w:val="212529"/>
          <w:sz w:val="24"/>
          <w:szCs w:val="24"/>
        </w:rPr>
      </w:pPr>
      <w:r w:rsidRPr="001F2905">
        <w:rPr>
          <w:color w:val="212529"/>
          <w:sz w:val="24"/>
          <w:szCs w:val="24"/>
        </w:rPr>
        <w:t>Ao longo de mais de seis décadas de atuação — celebradas em 2023 — o INSG tornou-se referência educacional em Macaé, ampliando suas atividades da formação inicial voltada às prendas domésticas para uma instituição completa, abrangendo educação infantil, ensino fundamental e médio, mantendo a tradição pedagógica salesiana inspirada em Dom Bosco e Madre Mazzarello.</w:t>
      </w:r>
    </w:p>
    <w:p w14:paraId="0D9495CD" w14:textId="77777777" w:rsidR="00D67372" w:rsidRPr="001F2905" w:rsidRDefault="00D67372" w:rsidP="00D67372">
      <w:pPr>
        <w:spacing w:line="240" w:lineRule="auto"/>
        <w:jc w:val="both"/>
        <w:rPr>
          <w:color w:val="212529"/>
          <w:sz w:val="24"/>
          <w:szCs w:val="24"/>
        </w:rPr>
      </w:pPr>
    </w:p>
    <w:p w14:paraId="18439CE9" w14:textId="77777777" w:rsidR="00D67372" w:rsidRPr="001F2905" w:rsidRDefault="00D67372" w:rsidP="00D67372">
      <w:pPr>
        <w:spacing w:line="240" w:lineRule="auto"/>
        <w:jc w:val="both"/>
        <w:rPr>
          <w:color w:val="212529"/>
          <w:sz w:val="24"/>
          <w:szCs w:val="24"/>
        </w:rPr>
      </w:pPr>
      <w:r w:rsidRPr="001F2905">
        <w:rPr>
          <w:color w:val="212529"/>
          <w:sz w:val="24"/>
          <w:szCs w:val="24"/>
        </w:rPr>
        <w:t>Além do papel educacional, a missão salesiana desenvolveu relevantes obras sociais, incluindo oratórios e atividades comunitárias que impactaram diretamente gerações de famílias macaenses.</w:t>
      </w:r>
    </w:p>
    <w:p w14:paraId="74E75C66" w14:textId="77777777" w:rsidR="00D67372" w:rsidRPr="001F2905" w:rsidRDefault="00D67372" w:rsidP="00D67372">
      <w:pPr>
        <w:spacing w:line="240" w:lineRule="auto"/>
        <w:jc w:val="both"/>
        <w:rPr>
          <w:color w:val="212529"/>
          <w:sz w:val="24"/>
          <w:szCs w:val="24"/>
        </w:rPr>
      </w:pPr>
    </w:p>
    <w:p w14:paraId="6AD0B960" w14:textId="77777777" w:rsidR="00D67372" w:rsidRPr="001F2905" w:rsidRDefault="00D67372" w:rsidP="00D67372">
      <w:pPr>
        <w:spacing w:line="240" w:lineRule="auto"/>
        <w:jc w:val="both"/>
        <w:rPr>
          <w:color w:val="212529"/>
          <w:sz w:val="24"/>
          <w:szCs w:val="24"/>
        </w:rPr>
      </w:pPr>
      <w:r w:rsidRPr="001F2905">
        <w:rPr>
          <w:color w:val="212529"/>
          <w:sz w:val="24"/>
          <w:szCs w:val="24"/>
        </w:rPr>
        <w:t>Do ponto de vista jurídico, a Constituição Federal, em seu artigo 216, reconhece como patrimônio cultural brasileiro os bens de natureza material e imaterial portadores de referência à identidade, à memória e à ação dos diferentes grupos formadores da sociedade. Cabe ao Poder Público promovê-los e protegê-los, inclusive por meio do tombamento.</w:t>
      </w:r>
    </w:p>
    <w:p w14:paraId="64648FAF" w14:textId="77777777" w:rsidR="00D67372" w:rsidRPr="001F2905" w:rsidRDefault="00D67372" w:rsidP="00D67372">
      <w:pPr>
        <w:spacing w:line="240" w:lineRule="auto"/>
        <w:jc w:val="both"/>
        <w:rPr>
          <w:color w:val="212529"/>
          <w:sz w:val="24"/>
          <w:szCs w:val="24"/>
        </w:rPr>
      </w:pPr>
    </w:p>
    <w:p w14:paraId="00E91780" w14:textId="77777777" w:rsidR="00D67372" w:rsidRPr="001F2905" w:rsidRDefault="00D67372" w:rsidP="00D67372">
      <w:pPr>
        <w:spacing w:line="240" w:lineRule="auto"/>
        <w:jc w:val="both"/>
        <w:rPr>
          <w:color w:val="212529"/>
          <w:sz w:val="24"/>
          <w:szCs w:val="24"/>
        </w:rPr>
      </w:pPr>
      <w:r w:rsidRPr="001F2905">
        <w:rPr>
          <w:color w:val="212529"/>
          <w:sz w:val="24"/>
          <w:szCs w:val="24"/>
        </w:rPr>
        <w:t>A Lei Orgânica do Município de Macaé igualmente atribui ao Município competência para proteger o patrimônio histórico, artístico e cultural local, podendo adotar medidas administrativas de preservação.</w:t>
      </w:r>
    </w:p>
    <w:p w14:paraId="093744B2" w14:textId="77777777" w:rsidR="00D67372" w:rsidRPr="001F2905" w:rsidRDefault="00D67372" w:rsidP="00D67372">
      <w:pPr>
        <w:spacing w:line="240" w:lineRule="auto"/>
        <w:jc w:val="both"/>
        <w:rPr>
          <w:color w:val="212529"/>
          <w:sz w:val="24"/>
          <w:szCs w:val="24"/>
        </w:rPr>
      </w:pPr>
    </w:p>
    <w:p w14:paraId="2853272D" w14:textId="77777777" w:rsidR="00D67372" w:rsidRPr="001F2905" w:rsidRDefault="00D67372" w:rsidP="00D67372">
      <w:pPr>
        <w:spacing w:line="240" w:lineRule="auto"/>
        <w:jc w:val="both"/>
        <w:rPr>
          <w:color w:val="212529"/>
          <w:sz w:val="24"/>
          <w:szCs w:val="24"/>
        </w:rPr>
      </w:pPr>
      <w:r w:rsidRPr="001F2905">
        <w:rPr>
          <w:color w:val="212529"/>
          <w:sz w:val="24"/>
          <w:szCs w:val="24"/>
        </w:rPr>
        <w:t>O tombamento não implica desapropriação, mas sim reconhecimento formal do valor histórico-cultural do bem, garantindo sua preservação arquitetônica e impedindo descaracterizações irreversíveis.</w:t>
      </w:r>
    </w:p>
    <w:p w14:paraId="1912A568" w14:textId="77777777" w:rsidR="00D67372" w:rsidRPr="001F2905" w:rsidRDefault="00D67372" w:rsidP="00D67372">
      <w:pPr>
        <w:spacing w:line="240" w:lineRule="auto"/>
        <w:jc w:val="both"/>
        <w:rPr>
          <w:color w:val="212529"/>
          <w:sz w:val="24"/>
          <w:szCs w:val="24"/>
        </w:rPr>
      </w:pPr>
    </w:p>
    <w:p w14:paraId="7B603D83" w14:textId="77777777" w:rsidR="00D67372" w:rsidRPr="001F2905" w:rsidRDefault="00D67372" w:rsidP="00D67372">
      <w:pPr>
        <w:spacing w:line="240" w:lineRule="auto"/>
        <w:jc w:val="both"/>
        <w:rPr>
          <w:color w:val="212529"/>
          <w:sz w:val="24"/>
          <w:szCs w:val="24"/>
        </w:rPr>
      </w:pPr>
      <w:r w:rsidRPr="001F2905">
        <w:rPr>
          <w:color w:val="212529"/>
          <w:sz w:val="24"/>
          <w:szCs w:val="24"/>
        </w:rPr>
        <w:t>A preservação do Solar Monte Elísio representa:</w:t>
      </w:r>
    </w:p>
    <w:p w14:paraId="3624D206" w14:textId="77777777" w:rsidR="00D67372" w:rsidRPr="001F2905" w:rsidRDefault="00D67372" w:rsidP="00D67372">
      <w:pPr>
        <w:spacing w:line="240" w:lineRule="auto"/>
        <w:jc w:val="both"/>
        <w:rPr>
          <w:color w:val="212529"/>
          <w:sz w:val="24"/>
          <w:szCs w:val="24"/>
        </w:rPr>
      </w:pPr>
    </w:p>
    <w:p w14:paraId="3D9A02FA" w14:textId="1BA5AF17" w:rsidR="00D67372" w:rsidRPr="006C6E42" w:rsidRDefault="00D67372" w:rsidP="006C6E42">
      <w:pPr>
        <w:pStyle w:val="PargrafodaLista"/>
        <w:numPr>
          <w:ilvl w:val="0"/>
          <w:numId w:val="17"/>
        </w:numPr>
        <w:spacing w:line="240" w:lineRule="auto"/>
        <w:jc w:val="both"/>
        <w:rPr>
          <w:color w:val="212529"/>
          <w:sz w:val="24"/>
          <w:szCs w:val="24"/>
        </w:rPr>
      </w:pPr>
      <w:r w:rsidRPr="006C6E42">
        <w:rPr>
          <w:color w:val="212529"/>
          <w:sz w:val="24"/>
          <w:szCs w:val="24"/>
        </w:rPr>
        <w:t>Valorização da memória histórica de Macaé;</w:t>
      </w:r>
    </w:p>
    <w:p w14:paraId="5870FFA5" w14:textId="715B0C4F" w:rsidR="00D67372" w:rsidRPr="006C6E42" w:rsidRDefault="00D67372" w:rsidP="006C6E42">
      <w:pPr>
        <w:pStyle w:val="PargrafodaLista"/>
        <w:numPr>
          <w:ilvl w:val="0"/>
          <w:numId w:val="17"/>
        </w:numPr>
        <w:spacing w:line="240" w:lineRule="auto"/>
        <w:jc w:val="both"/>
        <w:rPr>
          <w:color w:val="212529"/>
          <w:sz w:val="24"/>
          <w:szCs w:val="24"/>
        </w:rPr>
      </w:pPr>
      <w:r w:rsidRPr="006C6E42">
        <w:rPr>
          <w:color w:val="212529"/>
          <w:sz w:val="24"/>
          <w:szCs w:val="24"/>
        </w:rPr>
        <w:t>Proteção da arquitetura do século XIX;</w:t>
      </w:r>
    </w:p>
    <w:p w14:paraId="020C3A15" w14:textId="502EEFA2" w:rsidR="00D67372" w:rsidRPr="006C6E42" w:rsidRDefault="00D67372" w:rsidP="006C6E42">
      <w:pPr>
        <w:pStyle w:val="PargrafodaLista"/>
        <w:numPr>
          <w:ilvl w:val="0"/>
          <w:numId w:val="17"/>
        </w:numPr>
        <w:spacing w:line="240" w:lineRule="auto"/>
        <w:jc w:val="both"/>
        <w:rPr>
          <w:color w:val="212529"/>
          <w:sz w:val="24"/>
          <w:szCs w:val="24"/>
        </w:rPr>
      </w:pPr>
      <w:r w:rsidRPr="006C6E42">
        <w:rPr>
          <w:color w:val="212529"/>
          <w:sz w:val="24"/>
          <w:szCs w:val="24"/>
        </w:rPr>
        <w:t>Fortalecimento da identidade cultural local;</w:t>
      </w:r>
    </w:p>
    <w:p w14:paraId="2A1CE2A4" w14:textId="650FD1B9" w:rsidR="00D67372" w:rsidRPr="006C6E42" w:rsidRDefault="00D67372" w:rsidP="006C6E42">
      <w:pPr>
        <w:pStyle w:val="PargrafodaLista"/>
        <w:numPr>
          <w:ilvl w:val="0"/>
          <w:numId w:val="17"/>
        </w:numPr>
        <w:spacing w:line="240" w:lineRule="auto"/>
        <w:jc w:val="both"/>
        <w:rPr>
          <w:color w:val="212529"/>
          <w:sz w:val="24"/>
          <w:szCs w:val="24"/>
        </w:rPr>
      </w:pPr>
      <w:r w:rsidRPr="006C6E42">
        <w:rPr>
          <w:color w:val="212529"/>
          <w:sz w:val="24"/>
          <w:szCs w:val="24"/>
        </w:rPr>
        <w:t>Potencial incentivo ao turismo histórico e cultural;</w:t>
      </w:r>
    </w:p>
    <w:p w14:paraId="312F6B19" w14:textId="7794D8A7" w:rsidR="00D67372" w:rsidRPr="006C6E42" w:rsidRDefault="00D67372" w:rsidP="006C6E42">
      <w:pPr>
        <w:pStyle w:val="PargrafodaLista"/>
        <w:numPr>
          <w:ilvl w:val="0"/>
          <w:numId w:val="17"/>
        </w:numPr>
        <w:spacing w:line="240" w:lineRule="auto"/>
        <w:jc w:val="both"/>
        <w:rPr>
          <w:color w:val="212529"/>
          <w:sz w:val="24"/>
          <w:szCs w:val="24"/>
        </w:rPr>
      </w:pPr>
      <w:r w:rsidRPr="006C6E42">
        <w:rPr>
          <w:color w:val="212529"/>
          <w:sz w:val="24"/>
          <w:szCs w:val="24"/>
        </w:rPr>
        <w:t>Salvaguarda de um marco educacional da cidade.</w:t>
      </w:r>
    </w:p>
    <w:p w14:paraId="6684EB6F" w14:textId="6CD61C44" w:rsidR="006C6E42" w:rsidRDefault="006C6E42" w:rsidP="006C6E42">
      <w:pPr>
        <w:pStyle w:val="NormalWeb"/>
        <w:jc w:val="both"/>
        <w:rPr>
          <w:rFonts w:ascii="Arial" w:hAnsi="Arial" w:cs="Arial"/>
        </w:rPr>
      </w:pPr>
      <w:r w:rsidRPr="006C6E42">
        <w:rPr>
          <w:rFonts w:ascii="Arial" w:hAnsi="Arial" w:cs="Arial"/>
        </w:rPr>
        <w:t>Macaé possui trajetória histórica relevante no Estado do Rio de Janeiro, com origens que remontam ao período colonial, consolidando-se como importante núcleo urbano e econômico ao longo dos séculos XIX e XX.</w:t>
      </w:r>
    </w:p>
    <w:p w14:paraId="4B92E3E9" w14:textId="77777777" w:rsidR="006C6E42" w:rsidRPr="006C6E42" w:rsidRDefault="006C6E42" w:rsidP="006C6E42">
      <w:pPr>
        <w:pStyle w:val="NormalWeb"/>
        <w:jc w:val="both"/>
        <w:rPr>
          <w:rFonts w:ascii="Arial" w:hAnsi="Arial" w:cs="Arial"/>
        </w:rPr>
      </w:pPr>
      <w:r w:rsidRPr="006C6E42">
        <w:rPr>
          <w:rFonts w:ascii="Arial" w:hAnsi="Arial" w:cs="Arial"/>
        </w:rPr>
        <w:t>Apesar da relevância histórica, observa-se que o município ainda possui número limitado de bens formalmente protegidos por tombamento municipal, quando comparado a cidades fluminenses com perfil histórico semelhante.</w:t>
      </w:r>
    </w:p>
    <w:p w14:paraId="5D3E479F" w14:textId="77777777" w:rsidR="006C6E42" w:rsidRPr="006C6E42" w:rsidRDefault="006C6E42" w:rsidP="006C6E42">
      <w:pPr>
        <w:pStyle w:val="NormalWeb"/>
        <w:jc w:val="both"/>
        <w:rPr>
          <w:rFonts w:ascii="Arial" w:hAnsi="Arial" w:cs="Arial"/>
        </w:rPr>
      </w:pPr>
      <w:r w:rsidRPr="006C6E42">
        <w:rPr>
          <w:rFonts w:ascii="Arial" w:hAnsi="Arial" w:cs="Arial"/>
        </w:rPr>
        <w:t>O crescimento urbano acelerado nas últimas décadas — especialmente após o ciclo de expansão da indústria petrolífera — provocou intensa transformação arquitetônica, resultando na descaracterização ou demolição de imóveis históricos.</w:t>
      </w:r>
    </w:p>
    <w:p w14:paraId="394E80C5" w14:textId="77777777" w:rsidR="006C6E42" w:rsidRPr="006C6E42" w:rsidRDefault="006C6E42" w:rsidP="006C6E42">
      <w:pPr>
        <w:pStyle w:val="NormalWeb"/>
        <w:jc w:val="both"/>
        <w:rPr>
          <w:rFonts w:ascii="Arial" w:hAnsi="Arial" w:cs="Arial"/>
        </w:rPr>
      </w:pPr>
      <w:r w:rsidRPr="006C6E42">
        <w:rPr>
          <w:rFonts w:ascii="Arial" w:hAnsi="Arial" w:cs="Arial"/>
        </w:rPr>
        <w:t>Nesse contexto, políticas estruturadas de preservação tornam-se essenciais para:</w:t>
      </w:r>
    </w:p>
    <w:p w14:paraId="13AECF86" w14:textId="77777777" w:rsidR="006C6E42" w:rsidRPr="006C6E42" w:rsidRDefault="006C6E42" w:rsidP="006C6E42">
      <w:pPr>
        <w:pStyle w:val="NormalWeb"/>
        <w:numPr>
          <w:ilvl w:val="0"/>
          <w:numId w:val="16"/>
        </w:numPr>
        <w:rPr>
          <w:rFonts w:ascii="Arial" w:hAnsi="Arial" w:cs="Arial"/>
        </w:rPr>
      </w:pPr>
      <w:r w:rsidRPr="006C6E42">
        <w:rPr>
          <w:rFonts w:ascii="Arial" w:hAnsi="Arial" w:cs="Arial"/>
        </w:rPr>
        <w:t>Evitar perdas irreversíveis do patrimônio arquitetônico;</w:t>
      </w:r>
    </w:p>
    <w:p w14:paraId="345C05DF" w14:textId="77777777" w:rsidR="006C6E42" w:rsidRPr="006C6E42" w:rsidRDefault="006C6E42" w:rsidP="006C6E42">
      <w:pPr>
        <w:pStyle w:val="NormalWeb"/>
        <w:numPr>
          <w:ilvl w:val="0"/>
          <w:numId w:val="16"/>
        </w:numPr>
        <w:rPr>
          <w:rFonts w:ascii="Arial" w:hAnsi="Arial" w:cs="Arial"/>
        </w:rPr>
      </w:pPr>
      <w:r w:rsidRPr="006C6E42">
        <w:rPr>
          <w:rFonts w:ascii="Arial" w:hAnsi="Arial" w:cs="Arial"/>
        </w:rPr>
        <w:t>Garantir identidade cultural às futuras gerações;</w:t>
      </w:r>
    </w:p>
    <w:p w14:paraId="495A0CB6" w14:textId="77777777" w:rsidR="006C6E42" w:rsidRPr="006C6E42" w:rsidRDefault="006C6E42" w:rsidP="006C6E42">
      <w:pPr>
        <w:pStyle w:val="NormalWeb"/>
        <w:numPr>
          <w:ilvl w:val="0"/>
          <w:numId w:val="16"/>
        </w:numPr>
        <w:rPr>
          <w:rFonts w:ascii="Arial" w:hAnsi="Arial" w:cs="Arial"/>
        </w:rPr>
      </w:pPr>
      <w:r w:rsidRPr="006C6E42">
        <w:rPr>
          <w:rFonts w:ascii="Arial" w:hAnsi="Arial" w:cs="Arial"/>
        </w:rPr>
        <w:t>Estimular turismo histórico-cultural;</w:t>
      </w:r>
    </w:p>
    <w:p w14:paraId="1EA66DA6" w14:textId="77777777" w:rsidR="006C6E42" w:rsidRPr="006C6E42" w:rsidRDefault="006C6E42" w:rsidP="006C6E42">
      <w:pPr>
        <w:pStyle w:val="NormalWeb"/>
        <w:numPr>
          <w:ilvl w:val="0"/>
          <w:numId w:val="16"/>
        </w:numPr>
        <w:rPr>
          <w:rFonts w:ascii="Arial" w:hAnsi="Arial" w:cs="Arial"/>
        </w:rPr>
      </w:pPr>
      <w:r w:rsidRPr="006C6E42">
        <w:rPr>
          <w:rFonts w:ascii="Arial" w:hAnsi="Arial" w:cs="Arial"/>
        </w:rPr>
        <w:t>Promover educação patrimonial.</w:t>
      </w:r>
    </w:p>
    <w:p w14:paraId="71C93060" w14:textId="77777777" w:rsidR="006C6E42" w:rsidRPr="006C6E42" w:rsidRDefault="006C6E42" w:rsidP="006C6E42">
      <w:pPr>
        <w:pStyle w:val="NormalWeb"/>
        <w:jc w:val="both"/>
        <w:rPr>
          <w:rFonts w:ascii="Arial" w:hAnsi="Arial" w:cs="Arial"/>
        </w:rPr>
      </w:pPr>
      <w:r w:rsidRPr="006C6E42">
        <w:rPr>
          <w:rFonts w:ascii="Arial" w:hAnsi="Arial" w:cs="Arial"/>
        </w:rPr>
        <w:t>O Solar Monte Elísio, atual sede do INSG, integra esse conjunto de edificações remanescentes do século XIX que ainda preservam características arquitetônicas representativas do período imperial fluminense.</w:t>
      </w:r>
    </w:p>
    <w:p w14:paraId="4E51C01F" w14:textId="77777777" w:rsidR="006C6E42" w:rsidRPr="006C6E42" w:rsidRDefault="006C6E42" w:rsidP="006C6E42">
      <w:pPr>
        <w:pStyle w:val="NormalWeb"/>
        <w:jc w:val="both"/>
        <w:rPr>
          <w:rFonts w:ascii="Arial" w:hAnsi="Arial" w:cs="Arial"/>
        </w:rPr>
      </w:pPr>
      <w:r w:rsidRPr="006C6E42">
        <w:rPr>
          <w:rFonts w:ascii="Arial" w:hAnsi="Arial" w:cs="Arial"/>
        </w:rPr>
        <w:lastRenderedPageBreak/>
        <w:t>A realização de estudo técnico para possível tombamento contribui para consolidar uma política pública de proteção do patrimônio cultural macaense, alinhada ao art. 216 da Constituição Federal e às competências municipais previstas na Lei Orgânica.</w:t>
      </w:r>
    </w:p>
    <w:p w14:paraId="5A6EFC83" w14:textId="77777777" w:rsidR="00D67372" w:rsidRPr="001F2905" w:rsidRDefault="00D67372" w:rsidP="00D67372">
      <w:pPr>
        <w:spacing w:line="240" w:lineRule="auto"/>
        <w:jc w:val="both"/>
        <w:rPr>
          <w:color w:val="212529"/>
          <w:sz w:val="24"/>
          <w:szCs w:val="24"/>
        </w:rPr>
      </w:pPr>
      <w:r w:rsidRPr="001F2905">
        <w:rPr>
          <w:color w:val="212529"/>
          <w:sz w:val="24"/>
          <w:szCs w:val="24"/>
        </w:rPr>
        <w:t>Importante destacar que a presente proposição não determina o tombamento imediato, mas apenas solicita a realização de estudo técnico especializado, assegurando análise criteriosa quanto ao valor histórico, arquitetônico e cultural do bem, bem como eventual viabilidade administrativa.</w:t>
      </w:r>
    </w:p>
    <w:p w14:paraId="6EDA087A" w14:textId="77777777" w:rsidR="00D67372" w:rsidRPr="001F2905" w:rsidRDefault="00D67372" w:rsidP="00D67372">
      <w:pPr>
        <w:spacing w:line="240" w:lineRule="auto"/>
        <w:jc w:val="both"/>
        <w:rPr>
          <w:color w:val="212529"/>
          <w:sz w:val="24"/>
          <w:szCs w:val="24"/>
        </w:rPr>
      </w:pPr>
    </w:p>
    <w:p w14:paraId="3D842DD3" w14:textId="77777777" w:rsidR="00D67372" w:rsidRPr="001F2905" w:rsidRDefault="00D67372" w:rsidP="00D67372">
      <w:pPr>
        <w:spacing w:line="240" w:lineRule="auto"/>
        <w:jc w:val="both"/>
        <w:rPr>
          <w:color w:val="212529"/>
          <w:sz w:val="24"/>
          <w:szCs w:val="24"/>
        </w:rPr>
      </w:pPr>
      <w:r w:rsidRPr="001F2905">
        <w:rPr>
          <w:color w:val="212529"/>
          <w:sz w:val="24"/>
          <w:szCs w:val="24"/>
        </w:rPr>
        <w:t>Diante da relevância histórica, arquitetônica, educacional e cultural do imóvel, entende-se plenamente justificada a presente Indicação.</w:t>
      </w:r>
    </w:p>
    <w:p w14:paraId="12DEDB16" w14:textId="77777777" w:rsidR="00D67372" w:rsidRPr="001F2905" w:rsidRDefault="00D67372" w:rsidP="00D67372">
      <w:pPr>
        <w:spacing w:line="240" w:lineRule="auto"/>
        <w:jc w:val="both"/>
        <w:rPr>
          <w:color w:val="212529"/>
          <w:sz w:val="24"/>
          <w:szCs w:val="24"/>
        </w:rPr>
      </w:pPr>
    </w:p>
    <w:p w14:paraId="0133DD05" w14:textId="1EF01CBE" w:rsidR="00D67372" w:rsidRDefault="00D67372" w:rsidP="00D67372">
      <w:pPr>
        <w:spacing w:line="240" w:lineRule="auto"/>
        <w:jc w:val="both"/>
        <w:rPr>
          <w:color w:val="212529"/>
          <w:sz w:val="24"/>
          <w:szCs w:val="24"/>
        </w:rPr>
      </w:pPr>
    </w:p>
    <w:p w14:paraId="7C8B7737" w14:textId="77777777" w:rsidR="006C6E42" w:rsidRPr="00426E25" w:rsidRDefault="006C6E42" w:rsidP="00D67372">
      <w:pPr>
        <w:spacing w:line="240" w:lineRule="auto"/>
        <w:jc w:val="both"/>
        <w:rPr>
          <w:color w:val="212529"/>
          <w:sz w:val="24"/>
          <w:szCs w:val="24"/>
        </w:rPr>
      </w:pPr>
    </w:p>
    <w:p w14:paraId="3DB2B7CC" w14:textId="77777777" w:rsidR="00D67372" w:rsidRDefault="00D67372" w:rsidP="00D67372">
      <w:pPr>
        <w:pStyle w:val="Normal1"/>
        <w:jc w:val="center"/>
        <w:rPr>
          <w:b/>
          <w:sz w:val="24"/>
          <w:szCs w:val="24"/>
        </w:rPr>
      </w:pPr>
    </w:p>
    <w:p w14:paraId="0C41E2AF" w14:textId="77777777" w:rsidR="00D67372" w:rsidRDefault="00D67372" w:rsidP="00D67372">
      <w:pPr>
        <w:pStyle w:val="Normal1"/>
        <w:jc w:val="center"/>
        <w:rPr>
          <w:b/>
          <w:sz w:val="24"/>
          <w:szCs w:val="24"/>
        </w:rPr>
      </w:pPr>
      <w:r>
        <w:rPr>
          <w:b/>
          <w:sz w:val="24"/>
          <w:szCs w:val="24"/>
        </w:rPr>
        <w:t>Sala de Sessões, 20 de fevereiro de 2026.</w:t>
      </w:r>
    </w:p>
    <w:p w14:paraId="56A1FCC9" w14:textId="77777777" w:rsidR="00D67372" w:rsidRDefault="00D67372" w:rsidP="00D67372">
      <w:pPr>
        <w:pStyle w:val="Normal1"/>
        <w:rPr>
          <w:b/>
          <w:sz w:val="24"/>
          <w:szCs w:val="24"/>
        </w:rPr>
      </w:pPr>
    </w:p>
    <w:p w14:paraId="1F6B811D" w14:textId="77777777" w:rsidR="00D67372" w:rsidRDefault="00D67372" w:rsidP="00D67372">
      <w:pPr>
        <w:pStyle w:val="Normal1"/>
        <w:rPr>
          <w:b/>
          <w:sz w:val="24"/>
          <w:szCs w:val="24"/>
        </w:rPr>
      </w:pPr>
    </w:p>
    <w:p w14:paraId="7A45040F" w14:textId="77777777" w:rsidR="00D67372" w:rsidRDefault="00D67372" w:rsidP="00D67372">
      <w:pPr>
        <w:pStyle w:val="Normal1"/>
        <w:rPr>
          <w:b/>
          <w:sz w:val="24"/>
          <w:szCs w:val="24"/>
        </w:rPr>
      </w:pPr>
    </w:p>
    <w:p w14:paraId="44B99B13" w14:textId="77777777" w:rsidR="00D67372" w:rsidRDefault="00D67372" w:rsidP="00D67372">
      <w:pPr>
        <w:pStyle w:val="Normal1"/>
        <w:rPr>
          <w:b/>
          <w:sz w:val="24"/>
          <w:szCs w:val="24"/>
        </w:rPr>
      </w:pPr>
    </w:p>
    <w:p w14:paraId="1F7F09D6" w14:textId="77777777" w:rsidR="00D67372" w:rsidRDefault="00D67372" w:rsidP="00D67372">
      <w:pPr>
        <w:pStyle w:val="Normal1"/>
        <w:jc w:val="center"/>
        <w:rPr>
          <w:b/>
          <w:sz w:val="24"/>
          <w:szCs w:val="24"/>
        </w:rPr>
      </w:pPr>
      <w:r>
        <w:rPr>
          <w:b/>
          <w:sz w:val="24"/>
          <w:szCs w:val="24"/>
        </w:rPr>
        <w:t>Dra. Mayara Rezende</w:t>
      </w:r>
    </w:p>
    <w:p w14:paraId="67A919BA" w14:textId="77777777" w:rsidR="00D67372" w:rsidRDefault="00D67372" w:rsidP="00D67372">
      <w:pPr>
        <w:pStyle w:val="Normal1"/>
        <w:jc w:val="center"/>
        <w:rPr>
          <w:b/>
          <w:sz w:val="6"/>
          <w:szCs w:val="6"/>
        </w:rPr>
      </w:pPr>
      <w:r>
        <w:rPr>
          <w:b/>
          <w:sz w:val="24"/>
          <w:szCs w:val="24"/>
        </w:rPr>
        <w:t>Vereadora – Autora</w:t>
      </w:r>
    </w:p>
    <w:sectPr w:rsidR="00D67372" w:rsidSect="00D67372">
      <w:headerReference w:type="default" r:id="rId9"/>
      <w:footerReference w:type="default" r:id="rId10"/>
      <w:pgSz w:w="11909" w:h="16834"/>
      <w:pgMar w:top="2579" w:right="1440" w:bottom="142" w:left="1440" w:header="709"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6AE54" w14:textId="77777777" w:rsidR="009414AF" w:rsidRDefault="00A15203">
      <w:pPr>
        <w:spacing w:line="240" w:lineRule="auto"/>
      </w:pPr>
      <w:r>
        <w:separator/>
      </w:r>
    </w:p>
  </w:endnote>
  <w:endnote w:type="continuationSeparator" w:id="0">
    <w:p w14:paraId="60CB1BEE" w14:textId="77777777" w:rsidR="009414AF" w:rsidRDefault="00A152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33330" w14:textId="77777777" w:rsidR="009414AF" w:rsidRDefault="00A15203">
    <w:pPr>
      <w:pStyle w:val="Rodap"/>
      <w:tabs>
        <w:tab w:val="clear" w:pos="4844"/>
        <w:tab w:val="clear" w:pos="9689"/>
        <w:tab w:val="bar" w:pos="8931"/>
      </w:tabs>
      <w:ind w:left="-1418"/>
    </w:pPr>
    <w:r>
      <w:rPr>
        <w:noProof/>
      </w:rPr>
      <mc:AlternateContent>
        <mc:Choice Requires="wpg">
          <w:drawing>
            <wp:inline distT="0" distB="0" distL="0" distR="0" wp14:anchorId="04CA4DCA" wp14:editId="6016FA40">
              <wp:extent cx="7505700" cy="441296"/>
              <wp:effectExtent l="0" t="0" r="0" b="0"/>
              <wp:docPr id="10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pic:cNvPicPr>
                    </pic:nvPicPr>
                    <pic:blipFill>
                      <a:blip r:embed="rId1"/>
                      <a:stretch/>
                    </pic:blipFill>
                    <pic:spPr bwMode="auto">
                      <a:xfrm>
                        <a:off x="0" y="0"/>
                        <a:ext cx="7817022" cy="459600"/>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591.00pt;height:34.75pt;mso-wrap-distance-left:0.00pt;mso-wrap-distance-top:0.00pt;mso-wrap-distance-right:0.00pt;mso-wrap-distance-bottom:0.00pt;z-index:1;" stroked="false">
              <v:imagedata r:id="rId2" o:title=""/>
              <o:lock v:ext="edit" rotation="t"/>
            </v:shape>
          </w:pict>
        </mc:Fallback>
      </mc:AlternateContent>
    </w:r>
    <w:r>
      <w:rPr>
        <w:noProof/>
      </w:rPr>
      <mc:AlternateContent>
        <mc:Choice Requires="wps">
          <w:drawing>
            <wp:anchor distT="0" distB="0" distL="114300" distR="114300" simplePos="0" relativeHeight="251661312" behindDoc="0" locked="0" layoutInCell="0" allowOverlap="1" wp14:anchorId="6C8B481B" wp14:editId="365A325D">
              <wp:simplePos x="0" y="0"/>
              <wp:positionH relativeFrom="margin">
                <wp:align>center</wp:align>
              </wp:positionH>
              <wp:positionV relativeFrom="page">
                <wp:align>bottom</wp:align>
              </wp:positionV>
              <wp:extent cx="5939155" cy="740410"/>
              <wp:effectExtent l="0" t="0" r="4445" b="0"/>
              <wp:wrapNone/>
              <wp:docPr id="4" name="Retângulo 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740410"/>
                      </a:xfrm>
                      <a:prstGeom prst="rect">
                        <a:avLst/>
                      </a:prstGeom>
                      <a:noFill/>
                    </wps:spPr>
                    <wps:txbx>
                      <w:txbxContent>
                        <w:sdt>
                          <w:sdtPr>
                            <w:alias w:val="Data"/>
                            <w:id w:val="-1173488752"/>
                            <w:showingPlcHdr/>
                            <w:dataBinding w:prefixMappings="xmlns:ns0='http://schemas.microsoft.com/office/2006/coverPageProps'" w:xpath="/ns0:CoverPageProperties[1]/ns0:PublishDate[1]" w:storeItemID="{55AF091B-3C7A-41E3-B477-F2FDAA23CFDA}"/>
                            <w:date w:fullDate="2012-03-09T00:00:00Z">
                              <w:dateFormat w:val="d 'de' MMMM 'de' yyyy"/>
                              <w:lid w:val="pt-BR"/>
                              <w:storeMappedDataAs w:val="dateTime"/>
                              <w:calendar w:val="gregorian"/>
                            </w:date>
                          </w:sdtPr>
                          <w:sdtEndPr/>
                          <w:sdtContent>
                            <w:p w14:paraId="06C31D18" w14:textId="77777777" w:rsidR="009414AF" w:rsidRDefault="00A15203">
                              <w:r>
                                <w:t>[Data]</w:t>
                              </w:r>
                            </w:p>
                          </w:sdtContent>
                        </w:sdt>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w14:anchorId="6C8B481B" id="Retângulo 454" o:spid="_x0000_s1026" style="position:absolute;left:0;text-align:left;margin-left:0;margin-top:0;width:467.65pt;height:58.3pt;z-index:251661312;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MmC0AEAAHsDAAAOAAAAZHJzL2Uyb0RvYy54bWysU8tu2zAQvBfoPxC815JcuakFy0GQIEWB&#10;9AGk/QCKIiWiEpdd0pbcr++SfiRob0EuxD7E2dnhaHM9jwPbK/QGbM2LRc6ZshJaY7ua//xx/+4j&#10;Zz4I24oBrKr5QXl+vX37ZjO5Si2hh6FVyAjE+mpyNe9DcFWWedmrUfgFOGWpqQFHESjFLmtRTIQ+&#10;Dtkyzz9kE2DrEKTynqp3xybfJnytlQzftPYqsKHmxC2kE9PZxDPbbkTVoXC9kSca4gUsRmEsDb1A&#10;3Ykg2A7Nf1CjkQgedFhIGDPQ2kiVdqBtivyfbR574VTahcTx7iKTfz1Y+XX/6L5jpO7dA8hfnlm4&#10;7YXt1A0iTL0SLY0rolDZ5Hx1uRATT1dZM32Blp5W7AIkDWaNYwSk7dicpD5cpFZzYJKKq/X7dbFa&#10;cSapd1XmZZHeIhPV+bZDHz4pGFkMao70lAld7B98iGxEdf4kDrNwb4bhzDISix7wVZibmaoxbKA9&#10;EF+EowvItRT0gH84m8gBNfe/dwIVZ8NnSzuvi7KMlkkJBfi82qSkXF0tqSOsJJiah3N4G44W2zk0&#10;XU9TikTdwg1ppE2i/8TopCy9cNrq5MZooed5+urpn9n+BQAA//8DAFBLAwQUAAYACAAAACEAA6cA&#10;ftgAAAAFAQAADwAAAGRycy9kb3ducmV2LnhtbEyPwU7DMBBE70j8g7VI3KhTKiIIcSoUgcS1LYjr&#10;Nl4Sg72OYrcNf8/CBS4jrWY087Zez8GrI03JRTawXBSgiLtoHfcGXnZPV7egUka26COTgS9KsG7O&#10;z2qsbDzxho7b3Csp4VShgSHnsdI6dQMFTIs4Eov3HqeAWc6p13bCk5QHr6+LotQBHcvCgCO1A3Wf&#10;20MwoGPrnvvX6NsdOr95S/aDH7Mxlxfzwz2oTHP+C8MPvqBDI0z7eGCblDcgj+RfFe9udbMCtZfQ&#10;sixBN7X+T998AwAA//8DAFBLAQItABQABgAIAAAAIQC2gziS/gAAAOEBAAATAAAAAAAAAAAAAAAA&#10;AAAAAABbQ29udGVudF9UeXBlc10ueG1sUEsBAi0AFAAGAAgAAAAhADj9If/WAAAAlAEAAAsAAAAA&#10;AAAAAAAAAAAALwEAAF9yZWxzLy5yZWxzUEsBAi0AFAAGAAgAAAAhAP3MyYLQAQAAewMAAA4AAAAA&#10;AAAAAAAAAAAALgIAAGRycy9lMm9Eb2MueG1sUEsBAi0AFAAGAAgAAAAhAAOnAH7YAAAABQEAAA8A&#10;AAAAAAAAAAAAAAAAKgQAAGRycy9kb3ducmV2LnhtbFBLBQYAAAAABAAEAPMAAAAvBQAAAAA=&#10;" o:allowincell="f" filled="f" stroked="f">
              <v:textbox inset=",0">
                <w:txbxContent>
                  <w:sdt>
                    <w:sdtPr>
                      <w:alias w:val="Data"/>
                      <w:id w:val="-1173488752"/>
                      <w:showingPlcHdr/>
                      <w:dataBinding w:prefixMappings="xmlns:ns0='http://schemas.microsoft.com/office/2006/coverPageProps'" w:xpath="/ns0:CoverPageProperties[1]/ns0:PublishDate[1]" w:storeItemID="{55AF091B-3C7A-41E3-B477-F2FDAA23CFDA}"/>
                      <w:date w:fullDate="2012-03-09T00:00:00Z">
                        <w:dateFormat w:val="d 'de' MMMM 'de' yyyy"/>
                        <w:lid w:val="pt-BR"/>
                        <w:storeMappedDataAs w:val="dateTime"/>
                        <w:calendar w:val="gregorian"/>
                      </w:date>
                    </w:sdtPr>
                    <w:sdtEndPr/>
                    <w:sdtContent>
                      <w:p w14:paraId="06C31D18" w14:textId="77777777" w:rsidR="009414AF" w:rsidRDefault="00A15203">
                        <w:r>
                          <w:t>[Data]</w:t>
                        </w:r>
                      </w:p>
                    </w:sdtContent>
                  </w:sdt>
                </w:txbxContent>
              </v:textbox>
              <w10:wrap anchorx="margin" anchory="page"/>
            </v:rect>
          </w:pict>
        </mc:Fallback>
      </mc:AlternateContent>
    </w:r>
    <w:r>
      <w:rPr>
        <w:noProof/>
      </w:rPr>
      <mc:AlternateContent>
        <mc:Choice Requires="wpg">
          <w:drawing>
            <wp:anchor distT="0" distB="0" distL="114300" distR="114300" simplePos="0" relativeHeight="251660288" behindDoc="0" locked="0" layoutInCell="1" allowOverlap="1" wp14:anchorId="3D4AEBAF" wp14:editId="7E406080">
              <wp:simplePos x="0" y="0"/>
              <wp:positionH relativeFrom="leftMargin">
                <wp:align>right</wp:align>
              </wp:positionH>
              <wp:positionV relativeFrom="page">
                <wp:align>bottom</wp:align>
              </wp:positionV>
              <wp:extent cx="76200" cy="838200"/>
              <wp:effectExtent l="0" t="0" r="19050" b="0"/>
              <wp:wrapNone/>
              <wp:docPr id="5" name="Grupo 455"/>
              <wp:cNvGraphicFramePr/>
              <a:graphic xmlns:a="http://schemas.openxmlformats.org/drawingml/2006/main">
                <a:graphicData uri="http://schemas.microsoft.com/office/word/2010/wordprocessingGroup">
                  <wpg:wgp>
                    <wpg:cNvGrpSpPr/>
                    <wpg:grpSpPr bwMode="auto">
                      <a:xfrm>
                        <a:off x="0" y="0"/>
                        <a:ext cx="76200" cy="694055"/>
                        <a:chOff x="2820" y="4935"/>
                        <a:chExt cx="120" cy="1320"/>
                      </a:xfrm>
                    </wpg:grpSpPr>
                    <wps:wsp>
                      <wps:cNvPr id="6" name="Conector de Seta Reta 6"/>
                      <wps:cNvCnPr/>
                      <wps:spPr bwMode="auto">
                        <a:xfrm>
                          <a:off x="2820" y="4935"/>
                          <a:ext cx="0" cy="1320"/>
                        </a:xfrm>
                        <a:prstGeom prst="straightConnector1">
                          <a:avLst/>
                        </a:prstGeom>
                        <a:noFill/>
                        <a:ln w="15875">
                          <a:solidFill>
                            <a:schemeClr val="accent6">
                              <a:lumMod val="60000"/>
                              <a:lumOff val="40000"/>
                            </a:schemeClr>
                          </a:solidFill>
                          <a:round/>
                          <a:headEnd/>
                          <a:tailEnd/>
                        </a:ln>
                      </wps:spPr>
                      <wps:bodyPr/>
                    </wps:wsp>
                    <wps:wsp>
                      <wps:cNvPr id="7" name="Conector de Seta Reta 7"/>
                      <wps:cNvCnPr/>
                      <wps:spPr bwMode="auto">
                        <a:xfrm>
                          <a:off x="2880" y="4935"/>
                          <a:ext cx="0" cy="1320"/>
                        </a:xfrm>
                        <a:prstGeom prst="straightConnector1">
                          <a:avLst/>
                        </a:prstGeom>
                        <a:noFill/>
                        <a:ln w="15875">
                          <a:solidFill>
                            <a:schemeClr val="accent6">
                              <a:lumMod val="60000"/>
                              <a:lumOff val="40000"/>
                            </a:schemeClr>
                          </a:solidFill>
                          <a:round/>
                          <a:headEnd/>
                          <a:tailEnd/>
                        </a:ln>
                      </wps:spPr>
                      <wps:bodyPr/>
                    </wps:wsp>
                    <wps:wsp>
                      <wps:cNvPr id="8" name="Conector de Seta Reta 8"/>
                      <wps:cNvCnPr/>
                      <wps:spPr bwMode="auto">
                        <a:xfrm>
                          <a:off x="2940" y="4935"/>
                          <a:ext cx="0" cy="1320"/>
                        </a:xfrm>
                        <a:prstGeom prst="straightConnector1">
                          <a:avLst/>
                        </a:prstGeom>
                        <a:noFill/>
                        <a:ln w="15875">
                          <a:solidFill>
                            <a:schemeClr val="accent6">
                              <a:lumMod val="60000"/>
                              <a:lumOff val="40000"/>
                            </a:schemeClr>
                          </a:solidFill>
                          <a:round/>
                          <a:headEnd/>
                          <a:tailEnd/>
                        </a:ln>
                      </wps:spPr>
                      <wps:bodyPr/>
                    </wps:wsp>
                  </wpg:wgp>
                </a:graphicData>
              </a:graphic>
              <wp14:sizeRelH relativeFrom="page">
                <wp14:pctWidth>0</wp14:pctWidth>
              </wp14:sizeRelH>
              <wp14:sizeRelV relativeFrom="bottomMargin">
                <wp14:pctHeight>78000</wp14:pctHeight>
              </wp14:sizeRelV>
            </wp:anchor>
          </w:drawing>
        </mc:Choice>
        <mc:Fallback xmlns:a="http://schemas.openxmlformats.org/drawingml/2006/main">
          <w:pict>
            <v:group id="group 4" o:spid="_x0000_s0000" style="position:absolute;z-index:251660288;o:allowoverlap:true;o:allowincell:true;mso-position-horizontal-relative:left-margin-area;mso-position-horizontal:right;mso-position-vertical-relative:page;mso-position-vertical:bottom;width:6.00pt;height:66.00pt;mso-wrap-distance-left:9.00pt;mso-wrap-distance-top:0.00pt;mso-wrap-distance-right:9.00pt;mso-wrap-distance-bottom:0.00pt;" coordorigin="28,49" coordsize="1,13">
              <v:shape id="shape 5" o:spid="_x0000_s5" o:spt="32" type="#_x0000_t32" style="position:absolute;left:28;top:49;width:0;height:13;visibility:visible;" filled="f" strokecolor="#FABB8C" strokeweight="1.25pt"/>
              <v:shape id="shape 6" o:spid="_x0000_s6" o:spt="32" type="#_x0000_t32" style="position:absolute;left:28;top:49;width:0;height:13;visibility:visible;" filled="f" strokecolor="#FABB8C" strokeweight="1.25pt"/>
              <v:shape id="shape 7" o:spid="_x0000_s7" o:spt="32" type="#_x0000_t32" style="position:absolute;left:29;top:49;width:0;height:13;visibility:visible;" filled="f" strokecolor="#FABB8C" strokeweight="1.25pt"/>
            </v:group>
          </w:pict>
        </mc:Fallback>
      </mc:AlternateContent>
    </w:r>
  </w:p>
  <w:p w14:paraId="772F6577" w14:textId="77777777" w:rsidR="009414AF" w:rsidRDefault="00A15203">
    <w:pPr>
      <w:pStyle w:val="Rodap"/>
      <w:tabs>
        <w:tab w:val="clear" w:pos="4844"/>
        <w:tab w:val="clear" w:pos="9689"/>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EE33A" w14:textId="77777777" w:rsidR="009414AF" w:rsidRDefault="00A15203">
      <w:pPr>
        <w:spacing w:line="240" w:lineRule="auto"/>
      </w:pPr>
      <w:r>
        <w:separator/>
      </w:r>
    </w:p>
  </w:footnote>
  <w:footnote w:type="continuationSeparator" w:id="0">
    <w:p w14:paraId="45012CF9" w14:textId="77777777" w:rsidR="009414AF" w:rsidRDefault="00A1520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89035" w14:textId="4232F102" w:rsidR="009414AF" w:rsidRDefault="00D67372">
    <w:pPr>
      <w:pStyle w:val="Cabealho"/>
      <w:tabs>
        <w:tab w:val="clear" w:pos="4844"/>
        <w:tab w:val="clear" w:pos="9689"/>
        <w:tab w:val="left" w:pos="1276"/>
      </w:tabs>
      <w:ind w:left="-1418" w:right="-43"/>
    </w:pPr>
    <w:r>
      <w:rPr>
        <w:noProof/>
      </w:rPr>
      <w:drawing>
        <wp:anchor distT="0" distB="0" distL="114300" distR="114300" simplePos="0" relativeHeight="251658240" behindDoc="0" locked="0" layoutInCell="1" allowOverlap="1" wp14:anchorId="667D8471" wp14:editId="3754AB79">
          <wp:simplePos x="0" y="0"/>
          <wp:positionH relativeFrom="margin">
            <wp:align>center</wp:align>
          </wp:positionH>
          <wp:positionV relativeFrom="paragraph">
            <wp:posOffset>-427355</wp:posOffset>
          </wp:positionV>
          <wp:extent cx="1190625" cy="611505"/>
          <wp:effectExtent l="0" t="0" r="9525" b="0"/>
          <wp:wrapSquare wrapText="bothSides"/>
          <wp:docPr id="105" name="Image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1"/>
                  <a:stretch/>
                </pic:blipFill>
                <pic:spPr bwMode="auto">
                  <a:xfrm>
                    <a:off x="0" y="0"/>
                    <a:ext cx="1190625" cy="611505"/>
                  </a:xfrm>
                  <a:prstGeom prst="rect">
                    <a:avLst/>
                  </a:prstGeom>
                  <a:noFill/>
                </pic:spPr>
              </pic:pic>
            </a:graphicData>
          </a:graphic>
        </wp:anchor>
      </w:drawing>
    </w:r>
    <w:r w:rsidR="00A15203">
      <w:rPr>
        <w:noProof/>
      </w:rPr>
      <w:drawing>
        <wp:inline distT="0" distB="0" distL="0" distR="0" wp14:anchorId="04A435D0" wp14:editId="2C70A163">
          <wp:extent cx="7610475" cy="876300"/>
          <wp:effectExtent l="0" t="0" r="9525" b="0"/>
          <wp:docPr id="106"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493505" name="Imagem 1"/>
                  <pic:cNvPicPr>
                    <a:picLocks noChangeAspect="1"/>
                  </pic:cNvPicPr>
                </pic:nvPicPr>
                <pic:blipFill>
                  <a:blip r:embed="rId2"/>
                  <a:stretch/>
                </pic:blipFill>
                <pic:spPr bwMode="auto">
                  <a:xfrm>
                    <a:off x="0" y="0"/>
                    <a:ext cx="7628991" cy="878432"/>
                  </a:xfrm>
                  <a:prstGeom prst="rect">
                    <a:avLst/>
                  </a:prstGeom>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20872"/>
    <w:multiLevelType w:val="multilevel"/>
    <w:tmpl w:val="6ABAD794"/>
    <w:lvl w:ilvl="0">
      <w:start w:val="5"/>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7792066"/>
    <w:multiLevelType w:val="multilevel"/>
    <w:tmpl w:val="63AC494E"/>
    <w:lvl w:ilvl="0">
      <w:start w:val="2"/>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FB35EE9"/>
    <w:multiLevelType w:val="multilevel"/>
    <w:tmpl w:val="A8A09C84"/>
    <w:lvl w:ilvl="0">
      <w:start w:val="4"/>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4D54BC4"/>
    <w:multiLevelType w:val="multilevel"/>
    <w:tmpl w:val="D750B982"/>
    <w:lvl w:ilvl="0">
      <w:start w:val="24"/>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5A020F7"/>
    <w:multiLevelType w:val="multilevel"/>
    <w:tmpl w:val="D0B2F862"/>
    <w:lvl w:ilvl="0">
      <w:start w:val="10"/>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68E5371"/>
    <w:multiLevelType w:val="multilevel"/>
    <w:tmpl w:val="B8C843E4"/>
    <w:lvl w:ilvl="0">
      <w:start w:val="1"/>
      <w:numFmt w:val="upperLetter"/>
      <w:lvlText w:val="%1)"/>
      <w:lvlJc w:val="left"/>
      <w:pPr>
        <w:ind w:left="1134" w:hanging="360"/>
      </w:pPr>
    </w:lvl>
    <w:lvl w:ilvl="1">
      <w:start w:val="1"/>
      <w:numFmt w:val="lowerLetter"/>
      <w:lvlText w:val="%2."/>
      <w:lvlJc w:val="left"/>
      <w:pPr>
        <w:ind w:left="1854" w:hanging="360"/>
      </w:pPr>
    </w:lvl>
    <w:lvl w:ilvl="2">
      <w:start w:val="1"/>
      <w:numFmt w:val="lowerRoman"/>
      <w:lvlText w:val="%3."/>
      <w:lvlJc w:val="right"/>
      <w:pPr>
        <w:ind w:left="2574" w:hanging="180"/>
      </w:pPr>
    </w:lvl>
    <w:lvl w:ilvl="3">
      <w:start w:val="1"/>
      <w:numFmt w:val="decimal"/>
      <w:lvlText w:val="%4."/>
      <w:lvlJc w:val="left"/>
      <w:pPr>
        <w:ind w:left="3294" w:hanging="360"/>
      </w:pPr>
    </w:lvl>
    <w:lvl w:ilvl="4">
      <w:start w:val="1"/>
      <w:numFmt w:val="lowerLetter"/>
      <w:lvlText w:val="%5."/>
      <w:lvlJc w:val="left"/>
      <w:pPr>
        <w:ind w:left="4014" w:hanging="360"/>
      </w:pPr>
    </w:lvl>
    <w:lvl w:ilvl="5">
      <w:start w:val="1"/>
      <w:numFmt w:val="lowerRoman"/>
      <w:lvlText w:val="%6."/>
      <w:lvlJc w:val="right"/>
      <w:pPr>
        <w:ind w:left="4734" w:hanging="180"/>
      </w:pPr>
    </w:lvl>
    <w:lvl w:ilvl="6">
      <w:start w:val="1"/>
      <w:numFmt w:val="decimal"/>
      <w:lvlText w:val="%7."/>
      <w:lvlJc w:val="left"/>
      <w:pPr>
        <w:ind w:left="5454" w:hanging="360"/>
      </w:pPr>
    </w:lvl>
    <w:lvl w:ilvl="7">
      <w:start w:val="1"/>
      <w:numFmt w:val="lowerLetter"/>
      <w:lvlText w:val="%8."/>
      <w:lvlJc w:val="left"/>
      <w:pPr>
        <w:ind w:left="6174" w:hanging="360"/>
      </w:pPr>
    </w:lvl>
    <w:lvl w:ilvl="8">
      <w:start w:val="1"/>
      <w:numFmt w:val="lowerRoman"/>
      <w:lvlText w:val="%9."/>
      <w:lvlJc w:val="right"/>
      <w:pPr>
        <w:ind w:left="6894" w:hanging="180"/>
      </w:pPr>
    </w:lvl>
  </w:abstractNum>
  <w:abstractNum w:abstractNumId="6" w15:restartNumberingAfterBreak="0">
    <w:nsid w:val="310E1B3D"/>
    <w:multiLevelType w:val="multilevel"/>
    <w:tmpl w:val="4DC2739E"/>
    <w:lvl w:ilvl="0">
      <w:start w:val="11"/>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40570AB"/>
    <w:multiLevelType w:val="multilevel"/>
    <w:tmpl w:val="38A6BFE2"/>
    <w:lvl w:ilvl="0">
      <w:start w:val="1"/>
      <w:numFmt w:val="decimal"/>
      <w:lvlText w:val="%1."/>
      <w:lvlJc w:val="lef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8" w15:restartNumberingAfterBreak="0">
    <w:nsid w:val="368711D6"/>
    <w:multiLevelType w:val="multilevel"/>
    <w:tmpl w:val="EEDACE4C"/>
    <w:lvl w:ilvl="0">
      <w:start w:val="8"/>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EFE684E"/>
    <w:multiLevelType w:val="hybridMultilevel"/>
    <w:tmpl w:val="A95E1DE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47DA28F6"/>
    <w:multiLevelType w:val="multilevel"/>
    <w:tmpl w:val="654CB126"/>
    <w:lvl w:ilvl="0">
      <w:numFmt w:val="bullet"/>
      <w:lvlText w:val=""/>
      <w:lvlJc w:val="left"/>
      <w:pPr>
        <w:ind w:left="720" w:hanging="360"/>
      </w:pPr>
      <w:rPr>
        <w:rFonts w:ascii="Symbol" w:eastAsia="Arial" w:hAnsi="Symbo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33154F6"/>
    <w:multiLevelType w:val="multilevel"/>
    <w:tmpl w:val="371C8F72"/>
    <w:lvl w:ilvl="0">
      <w:start w:val="9"/>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6390B08"/>
    <w:multiLevelType w:val="multilevel"/>
    <w:tmpl w:val="CB04CF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5BC14C4B"/>
    <w:multiLevelType w:val="multilevel"/>
    <w:tmpl w:val="34424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F32739"/>
    <w:multiLevelType w:val="multilevel"/>
    <w:tmpl w:val="E326B33A"/>
    <w:lvl w:ilvl="0">
      <w:start w:val="1"/>
      <w:numFmt w:val="decimal"/>
      <w:lvlText w:val="%1."/>
      <w:lvlJc w:val="lef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15" w15:restartNumberingAfterBreak="0">
    <w:nsid w:val="6FD457F0"/>
    <w:multiLevelType w:val="multilevel"/>
    <w:tmpl w:val="9012A132"/>
    <w:lvl w:ilvl="0">
      <w:start w:val="1"/>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7F11D39"/>
    <w:multiLevelType w:val="multilevel"/>
    <w:tmpl w:val="72267B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23952393">
    <w:abstractNumId w:val="15"/>
  </w:num>
  <w:num w:numId="2" w16cid:durableId="286015265">
    <w:abstractNumId w:val="1"/>
  </w:num>
  <w:num w:numId="3" w16cid:durableId="1923181834">
    <w:abstractNumId w:val="2"/>
  </w:num>
  <w:num w:numId="4" w16cid:durableId="722947571">
    <w:abstractNumId w:val="3"/>
  </w:num>
  <w:num w:numId="5" w16cid:durableId="1314993940">
    <w:abstractNumId w:val="0"/>
  </w:num>
  <w:num w:numId="6" w16cid:durableId="1764377215">
    <w:abstractNumId w:val="8"/>
  </w:num>
  <w:num w:numId="7" w16cid:durableId="1576159555">
    <w:abstractNumId w:val="11"/>
  </w:num>
  <w:num w:numId="8" w16cid:durableId="1246525762">
    <w:abstractNumId w:val="4"/>
  </w:num>
  <w:num w:numId="9" w16cid:durableId="574585992">
    <w:abstractNumId w:val="6"/>
  </w:num>
  <w:num w:numId="10" w16cid:durableId="1797675676">
    <w:abstractNumId w:val="10"/>
  </w:num>
  <w:num w:numId="11" w16cid:durableId="1274482060">
    <w:abstractNumId w:val="16"/>
  </w:num>
  <w:num w:numId="12" w16cid:durableId="1063404338">
    <w:abstractNumId w:val="7"/>
  </w:num>
  <w:num w:numId="13" w16cid:durableId="1387724809">
    <w:abstractNumId w:val="5"/>
  </w:num>
  <w:num w:numId="14" w16cid:durableId="831138009">
    <w:abstractNumId w:val="14"/>
  </w:num>
  <w:num w:numId="15" w16cid:durableId="556236348">
    <w:abstractNumId w:val="13"/>
  </w:num>
  <w:num w:numId="16" w16cid:durableId="194008050">
    <w:abstractNumId w:val="12"/>
  </w:num>
  <w:num w:numId="17" w16cid:durableId="18056569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4AF"/>
    <w:rsid w:val="006C6E42"/>
    <w:rsid w:val="008F663E"/>
    <w:rsid w:val="009414AF"/>
    <w:rsid w:val="00A15203"/>
    <w:rsid w:val="00D673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B92B4"/>
  <w15:docId w15:val="{1AC41885-8BBA-41C0-B66A-3888D0FCC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Arial" w:eastAsia="Arial" w:hAnsi="Arial" w:cs="Arial"/>
      <w:sz w:val="22"/>
      <w:szCs w:val="22"/>
    </w:rPr>
  </w:style>
  <w:style w:type="paragraph" w:styleId="Ttulo1">
    <w:name w:val="heading 1"/>
    <w:basedOn w:val="Normal"/>
    <w:next w:val="Normal"/>
    <w:link w:val="Ttulo1Char"/>
    <w:uiPriority w:val="9"/>
    <w:qFormat/>
    <w:pPr>
      <w:keepNext/>
      <w:keepLines/>
      <w:spacing w:before="360" w:after="80"/>
      <w:outlineLvl w:val="0"/>
    </w:pPr>
    <w:rPr>
      <w:color w:val="365F91" w:themeColor="accent1" w:themeShade="BF"/>
      <w:sz w:val="40"/>
      <w:szCs w:val="40"/>
    </w:rPr>
  </w:style>
  <w:style w:type="paragraph" w:styleId="Ttulo2">
    <w:name w:val="heading 2"/>
    <w:basedOn w:val="Normal"/>
    <w:next w:val="Normal"/>
    <w:link w:val="Ttulo2Char"/>
    <w:uiPriority w:val="9"/>
    <w:unhideWhenUsed/>
    <w:qFormat/>
    <w:pPr>
      <w:keepNext/>
      <w:keepLines/>
      <w:spacing w:before="160" w:after="80"/>
      <w:outlineLvl w:val="1"/>
    </w:pPr>
    <w:rPr>
      <w:color w:val="365F91" w:themeColor="accent1" w:themeShade="BF"/>
      <w:sz w:val="32"/>
      <w:szCs w:val="32"/>
    </w:rPr>
  </w:style>
  <w:style w:type="paragraph" w:styleId="Ttulo3">
    <w:name w:val="heading 3"/>
    <w:basedOn w:val="Normal"/>
    <w:next w:val="Normal"/>
    <w:link w:val="Ttulo3Char"/>
    <w:uiPriority w:val="9"/>
    <w:unhideWhenUsed/>
    <w:qFormat/>
    <w:pPr>
      <w:keepNext/>
      <w:keepLines/>
      <w:spacing w:before="160" w:after="80"/>
      <w:outlineLvl w:val="2"/>
    </w:pPr>
    <w:rPr>
      <w:color w:val="365F91" w:themeColor="accent1" w:themeShade="BF"/>
      <w:sz w:val="28"/>
      <w:szCs w:val="28"/>
    </w:rPr>
  </w:style>
  <w:style w:type="paragraph" w:styleId="Ttulo4">
    <w:name w:val="heading 4"/>
    <w:basedOn w:val="Normal"/>
    <w:next w:val="Normal"/>
    <w:link w:val="Ttulo4Char"/>
    <w:uiPriority w:val="9"/>
    <w:unhideWhenUsed/>
    <w:qFormat/>
    <w:pPr>
      <w:keepNext/>
      <w:keepLines/>
      <w:spacing w:before="80" w:after="40"/>
      <w:outlineLvl w:val="3"/>
    </w:pPr>
    <w:rPr>
      <w:i/>
      <w:iCs/>
      <w:color w:val="365F91" w:themeColor="accent1" w:themeShade="BF"/>
    </w:rPr>
  </w:style>
  <w:style w:type="paragraph" w:styleId="Ttulo5">
    <w:name w:val="heading 5"/>
    <w:basedOn w:val="Normal"/>
    <w:next w:val="Normal"/>
    <w:link w:val="Ttulo5Char"/>
    <w:uiPriority w:val="9"/>
    <w:unhideWhenUsed/>
    <w:qFormat/>
    <w:pPr>
      <w:keepNext/>
      <w:keepLines/>
      <w:spacing w:before="80" w:after="40"/>
      <w:outlineLvl w:val="4"/>
    </w:pPr>
    <w:rPr>
      <w:color w:val="365F91" w:themeColor="accent1" w:themeShade="BF"/>
    </w:rPr>
  </w:style>
  <w:style w:type="paragraph" w:styleId="Ttulo6">
    <w:name w:val="heading 6"/>
    <w:basedOn w:val="Normal"/>
    <w:next w:val="Normal"/>
    <w:link w:val="Ttulo6Char"/>
    <w:uiPriority w:val="9"/>
    <w:unhideWhenUsed/>
    <w:qFormat/>
    <w:pPr>
      <w:keepNext/>
      <w:keepLines/>
      <w:spacing w:before="40"/>
      <w:outlineLvl w:val="5"/>
    </w:pPr>
    <w:rPr>
      <w:i/>
      <w:iCs/>
      <w:color w:val="595959" w:themeColor="text1" w:themeTint="A6"/>
    </w:rPr>
  </w:style>
  <w:style w:type="paragraph" w:styleId="Ttulo7">
    <w:name w:val="heading 7"/>
    <w:basedOn w:val="Normal"/>
    <w:next w:val="Normal"/>
    <w:link w:val="Ttulo7Char"/>
    <w:uiPriority w:val="9"/>
    <w:unhideWhenUsed/>
    <w:qFormat/>
    <w:pPr>
      <w:keepNext/>
      <w:keepLines/>
      <w:spacing w:before="40"/>
      <w:outlineLvl w:val="6"/>
    </w:pPr>
    <w:rPr>
      <w:color w:val="595959" w:themeColor="text1" w:themeTint="A6"/>
    </w:rPr>
  </w:style>
  <w:style w:type="paragraph" w:styleId="Ttulo8">
    <w:name w:val="heading 8"/>
    <w:basedOn w:val="Normal"/>
    <w:next w:val="Normal"/>
    <w:link w:val="Ttulo8Char"/>
    <w:uiPriority w:val="9"/>
    <w:unhideWhenUsed/>
    <w:qFormat/>
    <w:pPr>
      <w:keepNext/>
      <w:keepLines/>
      <w:outlineLvl w:val="7"/>
    </w:pPr>
    <w:rPr>
      <w:i/>
      <w:iCs/>
      <w:color w:val="272727" w:themeColor="text1" w:themeTint="D8"/>
    </w:rPr>
  </w:style>
  <w:style w:type="paragraph" w:styleId="Ttulo9">
    <w:name w:val="heading 9"/>
    <w:basedOn w:val="Normal"/>
    <w:next w:val="Normal"/>
    <w:link w:val="Ttulo9Char"/>
    <w:uiPriority w:val="9"/>
    <w:unhideWhenUsed/>
    <w:qFormat/>
    <w:pPr>
      <w:keepNext/>
      <w:keepLines/>
      <w:outlineLvl w:val="8"/>
    </w:pPr>
    <w:rPr>
      <w:i/>
      <w:iCs/>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rPr>
      <w:rFonts w:ascii="Arial" w:eastAsia="Arial" w:hAnsi="Arial" w:cs="Arial"/>
      <w:color w:val="365F91" w:themeColor="accent1" w:themeShade="BF"/>
      <w:sz w:val="40"/>
      <w:szCs w:val="40"/>
    </w:rPr>
  </w:style>
  <w:style w:type="character" w:customStyle="1" w:styleId="Heading2Char">
    <w:name w:val="Heading 2 Char"/>
    <w:basedOn w:val="Fontepargpadro"/>
    <w:uiPriority w:val="9"/>
    <w:rPr>
      <w:rFonts w:ascii="Arial" w:eastAsia="Arial" w:hAnsi="Arial" w:cs="Arial"/>
      <w:color w:val="365F91" w:themeColor="accent1" w:themeShade="BF"/>
      <w:sz w:val="32"/>
      <w:szCs w:val="32"/>
    </w:rPr>
  </w:style>
  <w:style w:type="character" w:customStyle="1" w:styleId="Heading3Char">
    <w:name w:val="Heading 3 Char"/>
    <w:basedOn w:val="Fontepargpadro"/>
    <w:uiPriority w:val="9"/>
    <w:rPr>
      <w:rFonts w:ascii="Arial" w:eastAsia="Arial" w:hAnsi="Arial" w:cs="Arial"/>
      <w:color w:val="365F91" w:themeColor="accent1" w:themeShade="BF"/>
      <w:sz w:val="28"/>
      <w:szCs w:val="28"/>
    </w:rPr>
  </w:style>
  <w:style w:type="character" w:customStyle="1" w:styleId="Heading4Char">
    <w:name w:val="Heading 4 Char"/>
    <w:basedOn w:val="Fontepargpadro"/>
    <w:uiPriority w:val="9"/>
    <w:rPr>
      <w:rFonts w:ascii="Arial" w:eastAsia="Arial" w:hAnsi="Arial" w:cs="Arial"/>
      <w:i/>
      <w:iCs/>
      <w:color w:val="365F91" w:themeColor="accent1" w:themeShade="BF"/>
    </w:rPr>
  </w:style>
  <w:style w:type="character" w:customStyle="1" w:styleId="Heading5Char">
    <w:name w:val="Heading 5 Char"/>
    <w:basedOn w:val="Fontepargpadro"/>
    <w:uiPriority w:val="9"/>
    <w:rPr>
      <w:rFonts w:ascii="Arial" w:eastAsia="Arial" w:hAnsi="Arial" w:cs="Arial"/>
      <w:color w:val="365F91" w:themeColor="accent1" w:themeShade="BF"/>
    </w:rPr>
  </w:style>
  <w:style w:type="character" w:customStyle="1" w:styleId="Heading6Char">
    <w:name w:val="Heading 6 Char"/>
    <w:basedOn w:val="Fontepargpadro"/>
    <w:uiPriority w:val="9"/>
    <w:rPr>
      <w:rFonts w:ascii="Arial" w:eastAsia="Arial" w:hAnsi="Arial" w:cs="Arial"/>
      <w:i/>
      <w:iCs/>
      <w:color w:val="595959" w:themeColor="text1" w:themeTint="A6"/>
    </w:rPr>
  </w:style>
  <w:style w:type="character" w:customStyle="1" w:styleId="Heading7Char">
    <w:name w:val="Heading 7 Char"/>
    <w:basedOn w:val="Fontepargpadro"/>
    <w:uiPriority w:val="9"/>
    <w:rPr>
      <w:rFonts w:ascii="Arial" w:eastAsia="Arial" w:hAnsi="Arial" w:cs="Arial"/>
      <w:color w:val="595959" w:themeColor="text1" w:themeTint="A6"/>
    </w:rPr>
  </w:style>
  <w:style w:type="character" w:customStyle="1" w:styleId="Heading8Char">
    <w:name w:val="Heading 8 Char"/>
    <w:basedOn w:val="Fontepargpadro"/>
    <w:uiPriority w:val="9"/>
    <w:rPr>
      <w:rFonts w:ascii="Arial" w:eastAsia="Arial" w:hAnsi="Arial" w:cs="Arial"/>
      <w:i/>
      <w:iCs/>
      <w:color w:val="272727" w:themeColor="text1" w:themeTint="D8"/>
    </w:rPr>
  </w:style>
  <w:style w:type="character" w:customStyle="1" w:styleId="Heading9Char">
    <w:name w:val="Heading 9 Char"/>
    <w:basedOn w:val="Fontepargpadro"/>
    <w:uiPriority w:val="9"/>
    <w:rPr>
      <w:rFonts w:ascii="Arial" w:eastAsia="Arial" w:hAnsi="Arial" w:cs="Arial"/>
      <w:i/>
      <w:iCs/>
      <w:color w:val="272727" w:themeColor="text1" w:themeTint="D8"/>
    </w:rPr>
  </w:style>
  <w:style w:type="character" w:customStyle="1" w:styleId="TitleChar">
    <w:name w:val="Title Char"/>
    <w:basedOn w:val="Fontepargpadro"/>
    <w:uiPriority w:val="10"/>
    <w:rPr>
      <w:rFonts w:ascii="Arial" w:eastAsia="Arial" w:hAnsi="Arial" w:cs="Arial"/>
      <w:spacing w:val="-10"/>
      <w:sz w:val="56"/>
      <w:szCs w:val="56"/>
    </w:rPr>
  </w:style>
  <w:style w:type="character" w:customStyle="1" w:styleId="SubtitleChar">
    <w:name w:val="Subtitle Char"/>
    <w:basedOn w:val="Fontepargpadro"/>
    <w:uiPriority w:val="11"/>
    <w:rPr>
      <w:color w:val="595959" w:themeColor="text1" w:themeTint="A6"/>
      <w:spacing w:val="15"/>
      <w:sz w:val="28"/>
      <w:szCs w:val="28"/>
    </w:rPr>
  </w:style>
  <w:style w:type="character" w:customStyle="1" w:styleId="QuoteChar">
    <w:name w:val="Quote Char"/>
    <w:basedOn w:val="Fontepargpadro"/>
    <w:uiPriority w:val="29"/>
    <w:rPr>
      <w:i/>
      <w:iCs/>
      <w:color w:val="404040" w:themeColor="text1" w:themeTint="BF"/>
    </w:rPr>
  </w:style>
  <w:style w:type="character" w:customStyle="1" w:styleId="IntenseQuoteChar">
    <w:name w:val="Intense Quote Char"/>
    <w:basedOn w:val="Fontepargpadro"/>
    <w:uiPriority w:val="30"/>
    <w:rPr>
      <w:i/>
      <w:iCs/>
      <w:color w:val="365F91" w:themeColor="accent1" w:themeShade="BF"/>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character" w:customStyle="1" w:styleId="FootnoteTextChar">
    <w:name w:val="Footnote Text Char"/>
    <w:basedOn w:val="Fontepargpadro"/>
    <w:uiPriority w:val="99"/>
    <w:semiHidden/>
    <w:rPr>
      <w:sz w:val="20"/>
      <w:szCs w:val="20"/>
    </w:rPr>
  </w:style>
  <w:style w:type="character" w:customStyle="1" w:styleId="EndnoteTextChar">
    <w:name w:val="Endnote Text Char"/>
    <w:basedOn w:val="Fontepargpadro"/>
    <w:uiPriority w:val="99"/>
    <w:semiHidden/>
    <w:rPr>
      <w:sz w:val="20"/>
      <w:szCs w:val="20"/>
    </w:rPr>
  </w:style>
  <w:style w:type="paragraph" w:styleId="Sumrio1">
    <w:name w:val="toc 1"/>
    <w:basedOn w:val="Normal"/>
    <w:next w:val="Normal"/>
    <w:uiPriority w:val="39"/>
    <w:unhideWhenUsed/>
    <w:pPr>
      <w:spacing w:after="100"/>
    </w:pPr>
  </w:style>
  <w:style w:type="paragraph" w:styleId="Sumrio2">
    <w:name w:val="toc 2"/>
    <w:basedOn w:val="Normal"/>
    <w:next w:val="Normal"/>
    <w:uiPriority w:val="39"/>
    <w:unhideWhenUsed/>
    <w:pPr>
      <w:spacing w:after="100"/>
      <w:ind w:left="220"/>
    </w:p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character" w:styleId="TextodoEspaoReservado">
    <w:name w:val="Placeholder Text"/>
    <w:basedOn w:val="Fontepargpadro"/>
    <w:uiPriority w:val="99"/>
    <w:semiHidden/>
    <w:rPr>
      <w:color w:val="666666"/>
    </w:rPr>
  </w:style>
  <w:style w:type="table" w:styleId="Tabelacomgrade">
    <w:name w:val="Table Grid"/>
    <w:basedOn w:val="Tabela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pPr>
      <w:spacing w:after="0" w:line="240" w:lineRule="auto"/>
    </w:pPr>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tulo1Char">
    <w:name w:val="Título 1 Char"/>
    <w:basedOn w:val="Fontepargpadro"/>
    <w:link w:val="Ttulo1"/>
    <w:uiPriority w:val="9"/>
    <w:rPr>
      <w:rFonts w:ascii="Arial" w:eastAsia="Arial" w:hAnsi="Arial" w:cs="Arial"/>
      <w:color w:val="365F91" w:themeColor="accent1" w:themeShade="BF"/>
      <w:sz w:val="40"/>
      <w:szCs w:val="40"/>
    </w:rPr>
  </w:style>
  <w:style w:type="character" w:customStyle="1" w:styleId="Ttulo2Char">
    <w:name w:val="Título 2 Char"/>
    <w:basedOn w:val="Fontepargpadro"/>
    <w:link w:val="Ttulo2"/>
    <w:uiPriority w:val="9"/>
    <w:rPr>
      <w:rFonts w:ascii="Arial" w:eastAsia="Arial" w:hAnsi="Arial" w:cs="Arial"/>
      <w:color w:val="365F91" w:themeColor="accent1" w:themeShade="BF"/>
      <w:sz w:val="32"/>
      <w:szCs w:val="32"/>
    </w:rPr>
  </w:style>
  <w:style w:type="character" w:customStyle="1" w:styleId="Ttulo3Char">
    <w:name w:val="Título 3 Char"/>
    <w:basedOn w:val="Fontepargpadro"/>
    <w:link w:val="Ttulo3"/>
    <w:uiPriority w:val="9"/>
    <w:rPr>
      <w:rFonts w:ascii="Arial" w:eastAsia="Arial" w:hAnsi="Arial" w:cs="Arial"/>
      <w:color w:val="365F91" w:themeColor="accent1" w:themeShade="BF"/>
      <w:sz w:val="28"/>
      <w:szCs w:val="28"/>
    </w:rPr>
  </w:style>
  <w:style w:type="character" w:customStyle="1" w:styleId="Ttulo4Char">
    <w:name w:val="Título 4 Char"/>
    <w:basedOn w:val="Fontepargpadro"/>
    <w:link w:val="Ttulo4"/>
    <w:uiPriority w:val="9"/>
    <w:rPr>
      <w:rFonts w:ascii="Arial" w:eastAsia="Arial" w:hAnsi="Arial" w:cs="Arial"/>
      <w:i/>
      <w:iCs/>
      <w:color w:val="365F91" w:themeColor="accent1" w:themeShade="BF"/>
    </w:rPr>
  </w:style>
  <w:style w:type="character" w:customStyle="1" w:styleId="Ttulo5Char">
    <w:name w:val="Título 5 Char"/>
    <w:basedOn w:val="Fontepargpadro"/>
    <w:link w:val="Ttulo5"/>
    <w:uiPriority w:val="9"/>
    <w:rPr>
      <w:rFonts w:ascii="Arial" w:eastAsia="Arial" w:hAnsi="Arial" w:cs="Arial"/>
      <w:color w:val="365F91" w:themeColor="accent1" w:themeShade="BF"/>
    </w:rPr>
  </w:style>
  <w:style w:type="character" w:customStyle="1" w:styleId="Ttulo6Char">
    <w:name w:val="Título 6 Char"/>
    <w:basedOn w:val="Fontepargpadro"/>
    <w:link w:val="Ttulo6"/>
    <w:uiPriority w:val="9"/>
    <w:rPr>
      <w:rFonts w:ascii="Arial" w:eastAsia="Arial" w:hAnsi="Arial" w:cs="Arial"/>
      <w:i/>
      <w:iCs/>
      <w:color w:val="595959" w:themeColor="text1" w:themeTint="A6"/>
    </w:rPr>
  </w:style>
  <w:style w:type="character" w:customStyle="1" w:styleId="Ttulo7Char">
    <w:name w:val="Título 7 Char"/>
    <w:basedOn w:val="Fontepargpadro"/>
    <w:link w:val="Ttulo7"/>
    <w:uiPriority w:val="9"/>
    <w:rPr>
      <w:rFonts w:ascii="Arial" w:eastAsia="Arial" w:hAnsi="Arial" w:cs="Arial"/>
      <w:color w:val="595959" w:themeColor="text1" w:themeTint="A6"/>
    </w:rPr>
  </w:style>
  <w:style w:type="character" w:customStyle="1" w:styleId="Ttulo8Char">
    <w:name w:val="Título 8 Char"/>
    <w:basedOn w:val="Fontepargpadro"/>
    <w:link w:val="Ttulo8"/>
    <w:uiPriority w:val="9"/>
    <w:rPr>
      <w:rFonts w:ascii="Arial" w:eastAsia="Arial" w:hAnsi="Arial" w:cs="Arial"/>
      <w:i/>
      <w:iCs/>
      <w:color w:val="272727" w:themeColor="text1" w:themeTint="D8"/>
    </w:rPr>
  </w:style>
  <w:style w:type="character" w:customStyle="1" w:styleId="Ttulo9Char">
    <w:name w:val="Título 9 Char"/>
    <w:basedOn w:val="Fontepargpadro"/>
    <w:link w:val="Ttulo9"/>
    <w:uiPriority w:val="9"/>
    <w:rPr>
      <w:rFonts w:ascii="Arial" w:eastAsia="Arial" w:hAnsi="Arial" w:cs="Arial"/>
      <w:i/>
      <w:iCs/>
      <w:color w:val="272727" w:themeColor="text1" w:themeTint="D8"/>
    </w:rPr>
  </w:style>
  <w:style w:type="paragraph" w:styleId="Ttulo">
    <w:name w:val="Title"/>
    <w:basedOn w:val="Normal"/>
    <w:next w:val="Normal"/>
    <w:link w:val="TtuloChar"/>
    <w:uiPriority w:val="10"/>
    <w:qFormat/>
    <w:pPr>
      <w:spacing w:after="80" w:line="240" w:lineRule="auto"/>
      <w:contextualSpacing/>
    </w:pPr>
    <w:rPr>
      <w:spacing w:val="-10"/>
      <w:sz w:val="56"/>
      <w:szCs w:val="56"/>
    </w:rPr>
  </w:style>
  <w:style w:type="character" w:customStyle="1" w:styleId="TtuloChar">
    <w:name w:val="Título Char"/>
    <w:basedOn w:val="Fontepargpadro"/>
    <w:link w:val="Ttulo"/>
    <w:uiPriority w:val="10"/>
    <w:rPr>
      <w:rFonts w:ascii="Arial" w:eastAsia="Arial" w:hAnsi="Arial" w:cs="Arial"/>
      <w:spacing w:val="-10"/>
      <w:sz w:val="56"/>
      <w:szCs w:val="56"/>
    </w:rPr>
  </w:style>
  <w:style w:type="paragraph" w:styleId="Subttulo">
    <w:name w:val="Subtitle"/>
    <w:basedOn w:val="Normal"/>
    <w:next w:val="Normal"/>
    <w:link w:val="SubttuloChar"/>
    <w:uiPriority w:val="11"/>
    <w:qFormat/>
    <w:pPr>
      <w:numPr>
        <w:ilvl w:val="1"/>
      </w:numPr>
    </w:pPr>
    <w:rPr>
      <w:color w:val="595959" w:themeColor="text1" w:themeTint="A6"/>
      <w:spacing w:val="15"/>
      <w:sz w:val="28"/>
      <w:szCs w:val="28"/>
    </w:rPr>
  </w:style>
  <w:style w:type="character" w:customStyle="1" w:styleId="SubttuloChar">
    <w:name w:val="Subtítulo Char"/>
    <w:basedOn w:val="Fontepargpadro"/>
    <w:link w:val="Subttulo"/>
    <w:uiPriority w:val="11"/>
    <w:rPr>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paragraph" w:styleId="PargrafodaLista">
    <w:name w:val="List Paragraph"/>
    <w:basedOn w:val="Normal"/>
    <w:uiPriority w:val="34"/>
    <w:qFormat/>
    <w:pPr>
      <w:ind w:left="720"/>
      <w:contextualSpacing/>
    </w:pPr>
  </w:style>
  <w:style w:type="character" w:styleId="nfaseIntensa">
    <w:name w:val="Intense Emphasis"/>
    <w:basedOn w:val="Fontepargpadro"/>
    <w:uiPriority w:val="21"/>
    <w:qFormat/>
    <w:rPr>
      <w:i/>
      <w:iCs/>
      <w:color w:val="365F91" w:themeColor="accent1" w:themeShade="BF"/>
    </w:rPr>
  </w:style>
  <w:style w:type="paragraph" w:styleId="CitaoIntensa">
    <w:name w:val="Intense Quote"/>
    <w:basedOn w:val="Normal"/>
    <w:next w:val="Normal"/>
    <w:link w:val="CitaoIntensa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Pr>
      <w:i/>
      <w:iCs/>
      <w:color w:val="365F91" w:themeColor="accent1" w:themeShade="BF"/>
    </w:rPr>
  </w:style>
  <w:style w:type="character" w:styleId="RefernciaIntensa">
    <w:name w:val="Intense Reference"/>
    <w:basedOn w:val="Fontepargpadro"/>
    <w:uiPriority w:val="32"/>
    <w:qFormat/>
    <w:rPr>
      <w:b/>
      <w:bCs/>
      <w:smallCaps/>
      <w:color w:val="365F91" w:themeColor="accent1" w:themeShade="BF"/>
      <w:spacing w:val="5"/>
    </w:rPr>
  </w:style>
  <w:style w:type="paragraph" w:styleId="SemEspaamento">
    <w:name w:val="No Spacing"/>
    <w:basedOn w:val="Normal"/>
    <w:uiPriority w:val="1"/>
    <w:qFormat/>
    <w:pPr>
      <w:spacing w:line="240" w:lineRule="auto"/>
    </w:pPr>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Forte">
    <w:name w:val="Strong"/>
    <w:basedOn w:val="Fontepargpadro"/>
    <w:uiPriority w:val="22"/>
    <w:qFormat/>
    <w:rPr>
      <w:b/>
      <w:b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paragraph" w:styleId="Cabealho">
    <w:name w:val="header"/>
    <w:basedOn w:val="Normal"/>
    <w:link w:val="CabealhoChar"/>
    <w:uiPriority w:val="99"/>
    <w:unhideWhenUsed/>
    <w:pPr>
      <w:tabs>
        <w:tab w:val="bar" w:pos="4844"/>
        <w:tab w:val="bar" w:pos="9689"/>
      </w:tabs>
      <w:spacing w:line="240" w:lineRule="auto"/>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bar" w:pos="4844"/>
        <w:tab w:val="bar" w:pos="9689"/>
      </w:tabs>
      <w:spacing w:line="240" w:lineRule="auto"/>
    </w:pPr>
  </w:style>
  <w:style w:type="character" w:customStyle="1" w:styleId="RodapChar">
    <w:name w:val="Rodapé Char"/>
    <w:basedOn w:val="Fontepargpadro"/>
    <w:link w:val="Rodap"/>
    <w:uiPriority w:val="99"/>
  </w:style>
  <w:style w:type="paragraph" w:styleId="Legenda">
    <w:name w:val="caption"/>
    <w:basedOn w:val="Normal"/>
    <w:next w:val="Normal"/>
    <w:uiPriority w:val="35"/>
    <w:unhideWhenUsed/>
    <w:qFormat/>
    <w:pPr>
      <w:spacing w:after="200" w:line="240" w:lineRule="auto"/>
    </w:pPr>
    <w:rPr>
      <w:i/>
      <w:iCs/>
      <w:color w:val="1F497D" w:themeColor="text2"/>
      <w:sz w:val="18"/>
      <w:szCs w:val="18"/>
    </w:rPr>
  </w:style>
  <w:style w:type="paragraph" w:styleId="Textodenotaderodap">
    <w:name w:val="footnote text"/>
    <w:basedOn w:val="Normal"/>
    <w:link w:val="TextodenotaderodapChar"/>
    <w:uiPriority w:val="99"/>
    <w:semiHidden/>
    <w:unhideWhenUsed/>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styleId="Textodenotadefim">
    <w:name w:val="endnote text"/>
    <w:basedOn w:val="Normal"/>
    <w:link w:val="TextodenotadefimChar"/>
    <w:uiPriority w:val="99"/>
    <w:semiHidden/>
    <w:unhideWhenUsed/>
    <w:pPr>
      <w:spacing w:line="240" w:lineRule="auto"/>
    </w:pPr>
    <w:rPr>
      <w:sz w:val="20"/>
      <w:szCs w:val="20"/>
    </w:rPr>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character" w:styleId="Hyperlink">
    <w:name w:val="Hyperlink"/>
    <w:basedOn w:val="Fontepargpadro"/>
    <w:uiPriority w:val="99"/>
    <w:unhideWhenUsed/>
    <w:rPr>
      <w:color w:val="0000FF" w:themeColor="hyperlink"/>
      <w:u w:val="single"/>
    </w:rPr>
  </w:style>
  <w:style w:type="character" w:styleId="HiperlinkVisitado">
    <w:name w:val="FollowedHyperlink"/>
    <w:basedOn w:val="Fontepargpadro"/>
    <w:uiPriority w:val="99"/>
    <w:semiHidden/>
    <w:unhideWhenUsed/>
    <w:rPr>
      <w:color w:val="800080" w:themeColor="followedHyperlink"/>
      <w:u w:val="single"/>
    </w:rPr>
  </w:style>
  <w:style w:type="paragraph" w:styleId="CabealhodoSumrio">
    <w:name w:val="TOC Heading"/>
    <w:uiPriority w:val="39"/>
    <w:unhideWhenUsed/>
  </w:style>
  <w:style w:type="paragraph" w:styleId="ndicedeilustraes">
    <w:name w:val="table of figures"/>
    <w:basedOn w:val="Normal"/>
    <w:next w:val="Normal"/>
    <w:uiPriority w:val="99"/>
    <w:unhideWhenUsed/>
  </w:style>
  <w:style w:type="paragraph" w:customStyle="1" w:styleId="Normal1">
    <w:name w:val="Normal1"/>
    <w:pPr>
      <w:spacing w:after="0" w:line="276" w:lineRule="auto"/>
    </w:pPr>
    <w:rPr>
      <w:rFonts w:ascii="Arial" w:eastAsia="Arial" w:hAnsi="Arial" w:cs="Arial"/>
      <w:sz w:val="22"/>
      <w:szCs w:val="22"/>
    </w:rPr>
  </w:style>
  <w:style w:type="paragraph" w:styleId="NormalWeb">
    <w:name w:val="Normal (Web)"/>
    <w:basedOn w:val="Normal"/>
    <w:uiPriority w:val="99"/>
    <w:semiHidden/>
    <w:unhideWhenUsed/>
    <w:rsid w:val="006C6E4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480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51E154-C299-4CA9-8443-BF43327AE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812</Words>
  <Characters>4390</Characters>
  <Application>Microsoft Office Word</Application>
  <DocSecurity>0</DocSecurity>
  <Lines>36</Lines>
  <Paragraphs>10</Paragraphs>
  <ScaleCrop>false</ScaleCrop>
  <Company/>
  <LinksUpToDate>false</LinksUpToDate>
  <CharactersWithSpaces>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Familia</dc:creator>
  <cp:lastModifiedBy>Isabela Pereira da Silva Catharino</cp:lastModifiedBy>
  <cp:revision>3</cp:revision>
  <dcterms:created xsi:type="dcterms:W3CDTF">2026-02-20T19:04:00Z</dcterms:created>
  <dcterms:modified xsi:type="dcterms:W3CDTF">2026-02-20T19:09:00Z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1046-10.1.0.5707</vt:lpwstr>
  </property>
</Properties>
</file>