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3B472" w14:textId="77777777" w:rsidR="006A4ECE" w:rsidRDefault="006A4ECE" w:rsidP="006A4ECE">
      <w:pPr>
        <w:spacing w:after="160" w:line="259" w:lineRule="auto"/>
        <w:jc w:val="center"/>
        <w:rPr>
          <w:b/>
          <w:bCs/>
          <w:sz w:val="28"/>
          <w:szCs w:val="28"/>
        </w:rPr>
      </w:pPr>
    </w:p>
    <w:p w14:paraId="1BCFB11D" w14:textId="77777777" w:rsidR="006A4ECE" w:rsidRDefault="006A4ECE" w:rsidP="006A4ECE">
      <w:pPr>
        <w:spacing w:after="160" w:line="259" w:lineRule="auto"/>
        <w:jc w:val="center"/>
        <w:rPr>
          <w:b/>
          <w:bCs/>
          <w:sz w:val="28"/>
          <w:szCs w:val="28"/>
        </w:rPr>
      </w:pPr>
    </w:p>
    <w:p w14:paraId="6201409F" w14:textId="19CE5641" w:rsidR="006A4ECE" w:rsidRPr="00746CB1" w:rsidRDefault="006A4ECE" w:rsidP="006A4ECE">
      <w:pPr>
        <w:spacing w:after="160" w:line="259" w:lineRule="auto"/>
        <w:jc w:val="center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 xml:space="preserve">PROJETO DE LEI Nº </w:t>
      </w:r>
      <w:r>
        <w:rPr>
          <w:b/>
          <w:bCs/>
          <w:sz w:val="28"/>
          <w:szCs w:val="28"/>
        </w:rPr>
        <w:t>175</w:t>
      </w:r>
      <w:r w:rsidRPr="00746CB1">
        <w:rPr>
          <w:b/>
          <w:bCs/>
          <w:sz w:val="28"/>
          <w:szCs w:val="28"/>
        </w:rPr>
        <w:t>/2025</w:t>
      </w:r>
      <w:r w:rsidRPr="00746CB1">
        <w:rPr>
          <w:sz w:val="28"/>
          <w:szCs w:val="28"/>
        </w:rPr>
        <w:br/>
      </w:r>
    </w:p>
    <w:p w14:paraId="6518F40B" w14:textId="77777777" w:rsidR="006A4ECE" w:rsidRPr="00746CB1" w:rsidRDefault="006A4ECE" w:rsidP="006A4ECE">
      <w:pPr>
        <w:spacing w:after="160" w:line="259" w:lineRule="auto"/>
        <w:ind w:left="3540"/>
        <w:jc w:val="both"/>
        <w:rPr>
          <w:b/>
          <w:bCs/>
          <w:sz w:val="28"/>
          <w:szCs w:val="28"/>
        </w:rPr>
      </w:pPr>
      <w:r w:rsidRPr="00746CB1">
        <w:rPr>
          <w:b/>
          <w:bCs/>
          <w:sz w:val="28"/>
          <w:szCs w:val="28"/>
        </w:rPr>
        <w:t>Dispõe sobre critérios de fiscalização e comercialização de lotes caucionados em novos loteamentos no Município de Araxá e dá outras providências.</w:t>
      </w:r>
    </w:p>
    <w:p w14:paraId="09573380" w14:textId="77777777" w:rsidR="006A4ECE" w:rsidRPr="00746CB1" w:rsidRDefault="006A4ECE" w:rsidP="006A4ECE">
      <w:pPr>
        <w:spacing w:after="160" w:line="259" w:lineRule="auto"/>
        <w:rPr>
          <w:b/>
          <w:bCs/>
          <w:sz w:val="28"/>
          <w:szCs w:val="28"/>
        </w:rPr>
      </w:pPr>
    </w:p>
    <w:p w14:paraId="715F5F62" w14:textId="77777777" w:rsidR="006A4ECE" w:rsidRPr="00746CB1" w:rsidRDefault="006A4ECE" w:rsidP="006A4ECE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205219082"/>
      <w:r w:rsidRPr="00746CB1">
        <w:rPr>
          <w:rFonts w:ascii="Times New Roman" w:hAnsi="Times New Roman" w:cs="Times New Roman"/>
          <w:b/>
          <w:bCs/>
          <w:sz w:val="28"/>
          <w:szCs w:val="28"/>
        </w:rPr>
        <w:t>A CÂMARA MUNICIPAL DE ARAXÁ</w:t>
      </w:r>
      <w:r w:rsidRPr="00746CB1">
        <w:rPr>
          <w:rFonts w:ascii="Times New Roman" w:hAnsi="Times New Roman" w:cs="Times New Roman"/>
          <w:sz w:val="28"/>
          <w:szCs w:val="28"/>
        </w:rPr>
        <w:t xml:space="preserve">, por iniciativa do Vereador </w:t>
      </w:r>
      <w:proofErr w:type="spellStart"/>
      <w:r w:rsidRPr="00746CB1">
        <w:rPr>
          <w:rFonts w:ascii="Times New Roman" w:hAnsi="Times New Roman" w:cs="Times New Roman"/>
          <w:b/>
          <w:bCs/>
          <w:sz w:val="28"/>
          <w:szCs w:val="28"/>
        </w:rPr>
        <w:t>Marciony</w:t>
      </w:r>
      <w:proofErr w:type="spellEnd"/>
      <w:r w:rsidRPr="00746CB1">
        <w:rPr>
          <w:rFonts w:ascii="Times New Roman" w:hAnsi="Times New Roman" w:cs="Times New Roman"/>
          <w:b/>
          <w:bCs/>
          <w:sz w:val="28"/>
          <w:szCs w:val="28"/>
        </w:rPr>
        <w:t xml:space="preserve"> Sucesso</w:t>
      </w:r>
      <w:r w:rsidRPr="00746CB1">
        <w:rPr>
          <w:rFonts w:ascii="Times New Roman" w:hAnsi="Times New Roman" w:cs="Times New Roman"/>
          <w:sz w:val="28"/>
          <w:szCs w:val="28"/>
        </w:rPr>
        <w:t>, com a Graça de Deus aprova, e eu, Prefeito Municipal, sanciono a seguinte Lei:</w:t>
      </w:r>
    </w:p>
    <w:bookmarkEnd w:id="0"/>
    <w:p w14:paraId="72DB210B" w14:textId="77777777" w:rsidR="006A4ECE" w:rsidRPr="00746CB1" w:rsidRDefault="006A4ECE" w:rsidP="006A4ECE">
      <w:pPr>
        <w:spacing w:after="160" w:line="259" w:lineRule="auto"/>
        <w:jc w:val="both"/>
        <w:rPr>
          <w:b/>
          <w:bCs/>
          <w:sz w:val="28"/>
          <w:szCs w:val="28"/>
        </w:rPr>
      </w:pPr>
    </w:p>
    <w:p w14:paraId="5B8F994E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 xml:space="preserve">Art. 1º </w:t>
      </w:r>
      <w:r w:rsidRPr="00746CB1">
        <w:rPr>
          <w:sz w:val="28"/>
          <w:szCs w:val="28"/>
        </w:rPr>
        <w:t>Esta Lei estabelece normas adicionais de controle, fiscalização e transparência para os loteamentos aprovados no Município de Araxá, especialmente quanto à caução de lotes como garantia da execução da infraestrutura obrigatória.</w:t>
      </w:r>
    </w:p>
    <w:p w14:paraId="2EF93E59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 xml:space="preserve">Art. 2º </w:t>
      </w:r>
      <w:r w:rsidRPr="00746CB1">
        <w:rPr>
          <w:sz w:val="28"/>
          <w:szCs w:val="28"/>
        </w:rPr>
        <w:t>Fica expressamente proibida a comercialização, cessão, transferência ou promessa de venda de qualquer lote caucionado junto ao Poder Público como forma de garantia da execução de obras de infraestrutura, enquanto não houver a entrega integral de tais obras, nos termos do decreto de aprovação do loteamento.</w:t>
      </w:r>
    </w:p>
    <w:p w14:paraId="2AD99D39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 xml:space="preserve">Art. 3º </w:t>
      </w:r>
      <w:r w:rsidRPr="00746CB1">
        <w:rPr>
          <w:sz w:val="28"/>
          <w:szCs w:val="28"/>
        </w:rPr>
        <w:t>As empresas responsáveis por loteamentos deverão obrigatoriamente:</w:t>
      </w:r>
    </w:p>
    <w:p w14:paraId="797152B8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sz w:val="28"/>
          <w:szCs w:val="28"/>
        </w:rPr>
        <w:t>I – Apresentar, no momento da aprovação do loteamento, cronograma físico-financeiro detalhado das obras de infraestrutura;</w:t>
      </w:r>
      <w:r w:rsidRPr="00746CB1">
        <w:rPr>
          <w:sz w:val="28"/>
          <w:szCs w:val="28"/>
        </w:rPr>
        <w:br/>
      </w:r>
    </w:p>
    <w:p w14:paraId="0B7F53D5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sz w:val="28"/>
          <w:szCs w:val="28"/>
        </w:rPr>
        <w:t>II – Atualizar e publicar relatórios bimestrais sobre o andamento das obras no site oficial da Prefeitura de Araxá e em local visível no próprio loteamento;</w:t>
      </w:r>
      <w:r w:rsidRPr="00746CB1">
        <w:rPr>
          <w:sz w:val="28"/>
          <w:szCs w:val="28"/>
        </w:rPr>
        <w:br/>
      </w:r>
    </w:p>
    <w:p w14:paraId="2EBFD6F1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sz w:val="28"/>
          <w:szCs w:val="28"/>
        </w:rPr>
        <w:t>III – Instalar, no canteiro de obras do loteamento, placas informativas contendo:</w:t>
      </w:r>
    </w:p>
    <w:p w14:paraId="10A596BF" w14:textId="77777777" w:rsidR="006A4ECE" w:rsidRPr="00746CB1" w:rsidRDefault="006A4ECE" w:rsidP="006A4ECE">
      <w:pPr>
        <w:pStyle w:val="PargrafodaLista"/>
        <w:widowControl/>
        <w:numPr>
          <w:ilvl w:val="0"/>
          <w:numId w:val="1"/>
        </w:numPr>
        <w:suppressAutoHyphens w:val="0"/>
        <w:autoSpaceDN/>
        <w:spacing w:after="160" w:line="259" w:lineRule="auto"/>
        <w:jc w:val="both"/>
        <w:textAlignment w:val="auto"/>
        <w:rPr>
          <w:sz w:val="28"/>
          <w:szCs w:val="28"/>
        </w:rPr>
      </w:pPr>
      <w:r w:rsidRPr="00746CB1">
        <w:rPr>
          <w:sz w:val="28"/>
          <w:szCs w:val="28"/>
        </w:rPr>
        <w:t>Nome da empresa responsável;</w:t>
      </w:r>
    </w:p>
    <w:p w14:paraId="3B94E3E5" w14:textId="77777777" w:rsidR="006A4ECE" w:rsidRPr="00746CB1" w:rsidRDefault="006A4ECE" w:rsidP="006A4ECE">
      <w:pPr>
        <w:widowControl/>
        <w:numPr>
          <w:ilvl w:val="0"/>
          <w:numId w:val="1"/>
        </w:numPr>
        <w:suppressAutoHyphens w:val="0"/>
        <w:autoSpaceDN/>
        <w:spacing w:after="160" w:line="259" w:lineRule="auto"/>
        <w:jc w:val="both"/>
        <w:textAlignment w:val="auto"/>
        <w:rPr>
          <w:sz w:val="28"/>
          <w:szCs w:val="28"/>
        </w:rPr>
      </w:pPr>
      <w:r w:rsidRPr="00746CB1">
        <w:rPr>
          <w:sz w:val="28"/>
          <w:szCs w:val="28"/>
        </w:rPr>
        <w:t>Número do decreto de aprovação;</w:t>
      </w:r>
    </w:p>
    <w:p w14:paraId="59F79F1B" w14:textId="77777777" w:rsidR="006A4ECE" w:rsidRPr="00746CB1" w:rsidRDefault="006A4ECE" w:rsidP="006A4ECE">
      <w:pPr>
        <w:widowControl/>
        <w:numPr>
          <w:ilvl w:val="0"/>
          <w:numId w:val="1"/>
        </w:numPr>
        <w:suppressAutoHyphens w:val="0"/>
        <w:autoSpaceDN/>
        <w:spacing w:after="160" w:line="259" w:lineRule="auto"/>
        <w:jc w:val="both"/>
        <w:textAlignment w:val="auto"/>
        <w:rPr>
          <w:sz w:val="28"/>
          <w:szCs w:val="28"/>
        </w:rPr>
      </w:pPr>
      <w:r w:rsidRPr="00746CB1">
        <w:rPr>
          <w:sz w:val="28"/>
          <w:szCs w:val="28"/>
        </w:rPr>
        <w:lastRenderedPageBreak/>
        <w:t>Prazo estimado de conclusão das obras.</w:t>
      </w:r>
    </w:p>
    <w:p w14:paraId="0B9FC3A0" w14:textId="77777777" w:rsidR="006A4ECE" w:rsidRPr="00746CB1" w:rsidRDefault="006A4ECE" w:rsidP="006A4ECE">
      <w:pPr>
        <w:spacing w:after="160" w:line="259" w:lineRule="auto"/>
        <w:jc w:val="both"/>
        <w:rPr>
          <w:b/>
          <w:bCs/>
          <w:sz w:val="28"/>
          <w:szCs w:val="28"/>
        </w:rPr>
      </w:pPr>
    </w:p>
    <w:p w14:paraId="0B208B6C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 xml:space="preserve">Art. 4º </w:t>
      </w:r>
      <w:r w:rsidRPr="00746CB1">
        <w:rPr>
          <w:sz w:val="28"/>
          <w:szCs w:val="28"/>
        </w:rPr>
        <w:t>Em caso de descumprimento desta Lei, o Município poderá adotar as seguintes medidas:</w:t>
      </w:r>
    </w:p>
    <w:p w14:paraId="7A916DD8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sz w:val="28"/>
          <w:szCs w:val="28"/>
        </w:rPr>
        <w:t>I – Suspensão do andamento de novos pedidos de aprovação de loteamentos vinculados à empresa infratora;</w:t>
      </w:r>
      <w:r w:rsidRPr="00746CB1">
        <w:rPr>
          <w:sz w:val="28"/>
          <w:szCs w:val="28"/>
        </w:rPr>
        <w:br/>
      </w:r>
    </w:p>
    <w:p w14:paraId="382FFFD7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sz w:val="28"/>
          <w:szCs w:val="28"/>
        </w:rPr>
        <w:t>II – Encaminhamento imediato de denúncia ao Ministério Público;</w:t>
      </w:r>
      <w:r w:rsidRPr="00746CB1">
        <w:rPr>
          <w:sz w:val="28"/>
          <w:szCs w:val="28"/>
        </w:rPr>
        <w:br/>
      </w:r>
    </w:p>
    <w:p w14:paraId="2476A510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sz w:val="28"/>
          <w:szCs w:val="28"/>
        </w:rPr>
        <w:t>III – Aplicação de multa administrativa proporcional à área total do loteamento, conforme critérios a serem definidos em regulamento, limitada a até R$ 50.000,00 (cinquenta mil reais) por hectare.</w:t>
      </w:r>
    </w:p>
    <w:p w14:paraId="76A71500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>Parágrafo único.</w:t>
      </w:r>
      <w:r w:rsidRPr="00746CB1">
        <w:rPr>
          <w:sz w:val="28"/>
          <w:szCs w:val="28"/>
        </w:rPr>
        <w:t xml:space="preserve"> Os valores arrecadados com multas aplicadas com base nesta Lei deverão ser destinados ao Fundo Municipal de Habitação e Urbanismo, para ações de fiscalização e regularização fundiária.</w:t>
      </w:r>
    </w:p>
    <w:p w14:paraId="02DD9811" w14:textId="77777777" w:rsidR="006A4ECE" w:rsidRPr="00746CB1" w:rsidRDefault="006A4ECE" w:rsidP="006A4ECE">
      <w:pPr>
        <w:spacing w:after="160" w:line="259" w:lineRule="auto"/>
        <w:jc w:val="both"/>
        <w:rPr>
          <w:b/>
          <w:bCs/>
          <w:sz w:val="28"/>
          <w:szCs w:val="28"/>
        </w:rPr>
      </w:pPr>
    </w:p>
    <w:p w14:paraId="0A1F696B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 xml:space="preserve">Art. 5º </w:t>
      </w:r>
      <w:r w:rsidRPr="00746CB1">
        <w:rPr>
          <w:sz w:val="28"/>
          <w:szCs w:val="28"/>
        </w:rPr>
        <w:t>A Prefeitura regulamentará esta Lei no prazo de até 60 (sessenta) dias a contar da data de sua publicação.</w:t>
      </w:r>
    </w:p>
    <w:p w14:paraId="721BEBE9" w14:textId="77777777" w:rsidR="006A4ECE" w:rsidRPr="00746CB1" w:rsidRDefault="006A4ECE" w:rsidP="006A4ECE">
      <w:pPr>
        <w:spacing w:after="160" w:line="259" w:lineRule="auto"/>
        <w:jc w:val="both"/>
        <w:rPr>
          <w:b/>
          <w:bCs/>
          <w:sz w:val="28"/>
          <w:szCs w:val="28"/>
        </w:rPr>
      </w:pPr>
    </w:p>
    <w:p w14:paraId="343649C3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b/>
          <w:bCs/>
          <w:sz w:val="28"/>
          <w:szCs w:val="28"/>
        </w:rPr>
        <w:t xml:space="preserve">Art. 6º </w:t>
      </w:r>
      <w:r w:rsidRPr="00746CB1">
        <w:rPr>
          <w:sz w:val="28"/>
          <w:szCs w:val="28"/>
        </w:rPr>
        <w:t>Esta Lei entra em vigor na data de sua publicação.</w:t>
      </w:r>
    </w:p>
    <w:p w14:paraId="21B89FC6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</w:p>
    <w:p w14:paraId="42D631EA" w14:textId="77777777" w:rsidR="006A4ECE" w:rsidRPr="00746CB1" w:rsidRDefault="006A4ECE" w:rsidP="006A4ECE">
      <w:pPr>
        <w:spacing w:after="160" w:line="259" w:lineRule="auto"/>
        <w:jc w:val="both"/>
        <w:rPr>
          <w:sz w:val="28"/>
          <w:szCs w:val="28"/>
        </w:rPr>
      </w:pPr>
      <w:r w:rsidRPr="00746CB1">
        <w:rPr>
          <w:sz w:val="28"/>
          <w:szCs w:val="28"/>
        </w:rPr>
        <w:t>Casa da Cidadania, em 12 de agosto de 2025</w:t>
      </w:r>
    </w:p>
    <w:p w14:paraId="2E45C6AF" w14:textId="77777777" w:rsidR="006A4ECE" w:rsidRPr="00746CB1" w:rsidRDefault="006A4ECE" w:rsidP="006A4ECE">
      <w:pPr>
        <w:jc w:val="both"/>
        <w:rPr>
          <w:sz w:val="28"/>
          <w:szCs w:val="28"/>
        </w:rPr>
      </w:pPr>
    </w:p>
    <w:p w14:paraId="45E3F7E6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46CB1">
        <w:rPr>
          <w:rFonts w:ascii="Times New Roman" w:hAnsi="Times New Roman" w:cs="Times New Roman"/>
          <w:b/>
          <w:bCs/>
          <w:sz w:val="28"/>
          <w:szCs w:val="28"/>
        </w:rPr>
        <w:t>Marciony</w:t>
      </w:r>
      <w:proofErr w:type="spellEnd"/>
      <w:r w:rsidRPr="00746CB1">
        <w:rPr>
          <w:rFonts w:ascii="Times New Roman" w:hAnsi="Times New Roman" w:cs="Times New Roman"/>
          <w:b/>
          <w:bCs/>
          <w:sz w:val="28"/>
          <w:szCs w:val="28"/>
        </w:rPr>
        <w:t xml:space="preserve"> Sucesso</w:t>
      </w:r>
    </w:p>
    <w:p w14:paraId="55AA019A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6CB1">
        <w:rPr>
          <w:rFonts w:ascii="Times New Roman" w:hAnsi="Times New Roman" w:cs="Times New Roman"/>
          <w:b/>
          <w:bCs/>
          <w:sz w:val="28"/>
          <w:szCs w:val="28"/>
        </w:rPr>
        <w:t>Vereador</w:t>
      </w:r>
    </w:p>
    <w:p w14:paraId="760C62FC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3E48EB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804472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7CECAE3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4A61DF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998825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808CF02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FA31DA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5765E5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ECB2AC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8F37F7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62E383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BED7D5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46AC58C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29440F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D24AFC4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77D482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6CB1">
        <w:rPr>
          <w:rFonts w:ascii="Times New Roman" w:hAnsi="Times New Roman" w:cs="Times New Roman"/>
          <w:b/>
          <w:bCs/>
          <w:sz w:val="28"/>
          <w:szCs w:val="28"/>
        </w:rPr>
        <w:t>Justificativa</w:t>
      </w:r>
    </w:p>
    <w:p w14:paraId="0720650F" w14:textId="77777777" w:rsidR="006A4ECE" w:rsidRPr="00746CB1" w:rsidRDefault="006A4ECE" w:rsidP="006A4ECE">
      <w:pPr>
        <w:jc w:val="both"/>
        <w:rPr>
          <w:rFonts w:ascii="Times New Roman" w:hAnsi="Times New Roman" w:cs="Times New Roman"/>
          <w:sz w:val="28"/>
          <w:szCs w:val="28"/>
        </w:rPr>
      </w:pPr>
      <w:r w:rsidRPr="00746CB1">
        <w:rPr>
          <w:rFonts w:ascii="Times New Roman" w:hAnsi="Times New Roman" w:cs="Times New Roman"/>
          <w:sz w:val="28"/>
          <w:szCs w:val="28"/>
        </w:rPr>
        <w:br/>
        <w:t>A presente proposta visa proteger os consumidores e o interesse público, coibindo a prática irregular de comercialização de lotes caucionados antes da entrega da infraestrutura mínima exigida. A falta de fiscalização e transparência tem causado prejuízos significativos aos cidadãos de Araxá, especialmente nos loteamentos Jardim Dona Adélia III e Flor de Lótus, onde centenas de famílias foram lesadas. Esta Lei busca assegurar o respeito às normas urbanísticas, fortalecer a confiança nos processos de aprovação de loteamentos e prevenir novos casos de irregularidade.</w:t>
      </w:r>
    </w:p>
    <w:p w14:paraId="00D19E29" w14:textId="77777777" w:rsidR="006A4ECE" w:rsidRPr="00746CB1" w:rsidRDefault="006A4ECE" w:rsidP="006A4EC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AD36BB" w14:textId="77777777" w:rsidR="006A4ECE" w:rsidRPr="00746CB1" w:rsidRDefault="006A4ECE" w:rsidP="006A4EC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4196161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46CB1">
        <w:rPr>
          <w:rFonts w:ascii="Times New Roman" w:hAnsi="Times New Roman" w:cs="Times New Roman"/>
          <w:b/>
          <w:bCs/>
          <w:sz w:val="28"/>
          <w:szCs w:val="28"/>
        </w:rPr>
        <w:t>Marciony</w:t>
      </w:r>
      <w:proofErr w:type="spellEnd"/>
      <w:r w:rsidRPr="00746CB1">
        <w:rPr>
          <w:rFonts w:ascii="Times New Roman" w:hAnsi="Times New Roman" w:cs="Times New Roman"/>
          <w:b/>
          <w:bCs/>
          <w:sz w:val="28"/>
          <w:szCs w:val="28"/>
        </w:rPr>
        <w:t xml:space="preserve"> Sucesso</w:t>
      </w:r>
    </w:p>
    <w:p w14:paraId="5CB9831D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E7C4EE" w14:textId="77777777" w:rsidR="006A4ECE" w:rsidRPr="00746CB1" w:rsidRDefault="006A4ECE" w:rsidP="006A4EC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46CB1">
        <w:rPr>
          <w:rFonts w:ascii="Times New Roman" w:hAnsi="Times New Roman" w:cs="Times New Roman"/>
          <w:b/>
          <w:bCs/>
          <w:sz w:val="28"/>
          <w:szCs w:val="28"/>
        </w:rPr>
        <w:t>Vereador</w:t>
      </w:r>
    </w:p>
    <w:p w14:paraId="7D7ABB38" w14:textId="77777777" w:rsidR="006A4ECE" w:rsidRPr="00746CB1" w:rsidRDefault="006A4ECE" w:rsidP="006A4EC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6D4E99" w14:textId="77777777" w:rsidR="006A4ECE" w:rsidRPr="00746CB1" w:rsidRDefault="006A4ECE" w:rsidP="006A4ECE">
      <w:pPr>
        <w:jc w:val="both"/>
        <w:rPr>
          <w:sz w:val="28"/>
          <w:szCs w:val="28"/>
        </w:rPr>
      </w:pPr>
    </w:p>
    <w:p w14:paraId="446D3C24" w14:textId="77777777" w:rsidR="006A4ECE" w:rsidRPr="00746CB1" w:rsidRDefault="006A4ECE" w:rsidP="006A4ECE">
      <w:pPr>
        <w:jc w:val="both"/>
        <w:rPr>
          <w:sz w:val="28"/>
          <w:szCs w:val="28"/>
        </w:rPr>
      </w:pPr>
    </w:p>
    <w:p w14:paraId="2DA914E2" w14:textId="77777777" w:rsidR="006A4ECE" w:rsidRPr="00746CB1" w:rsidRDefault="006A4ECE" w:rsidP="006A4ECE">
      <w:pPr>
        <w:jc w:val="both"/>
        <w:rPr>
          <w:sz w:val="28"/>
          <w:szCs w:val="28"/>
        </w:rPr>
      </w:pPr>
    </w:p>
    <w:p w14:paraId="059311ED" w14:textId="77777777" w:rsidR="00746CB1" w:rsidRPr="006A4ECE" w:rsidRDefault="00746CB1" w:rsidP="006A4ECE"/>
    <w:sectPr w:rsidR="00746CB1" w:rsidRPr="006A4ECE" w:rsidSect="00AA2BFB">
      <w:headerReference w:type="even" r:id="rId7"/>
      <w:headerReference w:type="default" r:id="rId8"/>
      <w:footerReference w:type="default" r:id="rId9"/>
      <w:headerReference w:type="first" r:id="rId10"/>
      <w:pgSz w:w="11905" w:h="16837"/>
      <w:pgMar w:top="1134" w:right="1465" w:bottom="56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C89D4" w14:textId="77777777" w:rsidR="00E8493D" w:rsidRDefault="00E8493D">
      <w:r>
        <w:separator/>
      </w:r>
    </w:p>
  </w:endnote>
  <w:endnote w:type="continuationSeparator" w:id="0">
    <w:p w14:paraId="1A78B83D" w14:textId="77777777" w:rsidR="00E8493D" w:rsidRDefault="00E849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5200F5FF" w:usb2="0A24202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C4406" w14:textId="77777777" w:rsidR="00AA2BFB" w:rsidRDefault="00AA2BFB">
    <w:pPr>
      <w:pStyle w:val="Rodap1"/>
      <w:jc w:val="left"/>
      <w:rPr>
        <w:rFonts w:ascii="Verdana" w:hAnsi="Verdana"/>
        <w:sz w:val="16"/>
        <w:szCs w:val="16"/>
      </w:rPr>
    </w:pPr>
  </w:p>
  <w:p w14:paraId="57DA693A" w14:textId="77777777" w:rsidR="00AA2BFB" w:rsidRPr="00B11ABE" w:rsidRDefault="00AA2BFB">
    <w:pPr>
      <w:pStyle w:val="HorizontalLine"/>
      <w:rPr>
        <w:sz w:val="16"/>
        <w:szCs w:val="16"/>
      </w:rPr>
    </w:pPr>
  </w:p>
  <w:p w14:paraId="7103C81C" w14:textId="77777777" w:rsidR="00AA2BFB" w:rsidRPr="00883692" w:rsidRDefault="00AA2BFB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Av. João Paulo II – nº 1200 – Guilhermina Vieira Chaer – Araxá-MG, CEP</w:t>
    </w:r>
    <w:r>
      <w:rPr>
        <w:rFonts w:ascii="Times New Roman" w:hAnsi="Times New Roman" w:cs="Times New Roman"/>
        <w:sz w:val="22"/>
        <w:szCs w:val="22"/>
      </w:rPr>
      <w:t>:</w:t>
    </w:r>
    <w:r w:rsidRPr="00883692">
      <w:rPr>
        <w:rFonts w:ascii="Times New Roman" w:hAnsi="Times New Roman" w:cs="Times New Roman"/>
        <w:sz w:val="22"/>
        <w:szCs w:val="22"/>
      </w:rPr>
      <w:t xml:space="preserve"> </w:t>
    </w:r>
    <w:r w:rsidRPr="00883692">
      <w:rPr>
        <w:rStyle w:val="apple-style-span"/>
        <w:rFonts w:ascii="Times New Roman" w:hAnsi="Times New Roman" w:cs="Times New Roman"/>
        <w:sz w:val="22"/>
        <w:szCs w:val="22"/>
        <w:shd w:val="clear" w:color="auto" w:fill="FFFFFF"/>
      </w:rPr>
      <w:t>38184-122</w:t>
    </w:r>
  </w:p>
  <w:p w14:paraId="3920C58B" w14:textId="77777777" w:rsidR="00AA2BFB" w:rsidRPr="00883692" w:rsidRDefault="00AA2BFB">
    <w:pPr>
      <w:pStyle w:val="Rodap1"/>
      <w:rPr>
        <w:rFonts w:ascii="Times New Roman" w:hAnsi="Times New Roman" w:cs="Times New Roman"/>
        <w:sz w:val="22"/>
        <w:szCs w:val="22"/>
      </w:rPr>
    </w:pPr>
    <w:r w:rsidRPr="00883692">
      <w:rPr>
        <w:rFonts w:ascii="Times New Roman" w:hAnsi="Times New Roman" w:cs="Times New Roman"/>
        <w:sz w:val="22"/>
        <w:szCs w:val="22"/>
      </w:rPr>
      <w:t>Fone/Fax: (34)3662-3040</w:t>
    </w:r>
  </w:p>
  <w:p w14:paraId="39474A93" w14:textId="77777777" w:rsidR="00AA2BFB" w:rsidRPr="00883692" w:rsidRDefault="00AA2BFB">
    <w:pPr>
      <w:pStyle w:val="Rodap1"/>
      <w:rPr>
        <w:rFonts w:ascii="Times New Roman" w:hAnsi="Times New Roman" w:cs="Times New Roman"/>
        <w:sz w:val="22"/>
        <w:szCs w:val="22"/>
      </w:rPr>
    </w:pPr>
    <w:hyperlink r:id="rId1" w:history="1">
      <w:r w:rsidRPr="001C1D89">
        <w:rPr>
          <w:rStyle w:val="Hyperlink"/>
          <w:rFonts w:ascii="Times New Roman" w:hAnsi="Times New Roman" w:cs="Times New Roman"/>
          <w:sz w:val="22"/>
          <w:szCs w:val="22"/>
        </w:rPr>
        <w:t>www.araxa.mg.leg.br</w:t>
      </w:r>
    </w:hyperlink>
    <w:r>
      <w:rPr>
        <w:rFonts w:ascii="Times New Roman" w:hAnsi="Times New Roman" w:cs="Times New Roman"/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2F10B" w14:textId="77777777" w:rsidR="00E8493D" w:rsidRDefault="00E8493D">
      <w:r>
        <w:separator/>
      </w:r>
    </w:p>
  </w:footnote>
  <w:footnote w:type="continuationSeparator" w:id="0">
    <w:p w14:paraId="64F6D7D7" w14:textId="77777777" w:rsidR="00E8493D" w:rsidRDefault="00E849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7D70E" w14:textId="77777777" w:rsidR="00AA2BFB" w:rsidRDefault="00000000">
    <w:pPr>
      <w:pStyle w:val="Cabealho"/>
    </w:pPr>
    <w:r>
      <w:rPr>
        <w:noProof/>
      </w:rPr>
      <w:pict w14:anchorId="3F3B5C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5" o:spid="_x0000_s1025" type="#_x0000_t75" style="position:absolute;margin-left:0;margin-top:0;width:452.25pt;height:388.2pt;z-index:-251659776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C8921E" w14:textId="77777777" w:rsidR="00AA2BFB" w:rsidRPr="00883692" w:rsidRDefault="00000000">
    <w:pPr>
      <w:pStyle w:val="Cabealho1"/>
      <w:rPr>
        <w:rFonts w:ascii="Times New Roman" w:hAnsi="Times New Roman" w:cs="Times New Roman"/>
        <w:b w:val="0"/>
        <w:sz w:val="30"/>
        <w:szCs w:val="30"/>
      </w:rPr>
    </w:pPr>
    <w:r>
      <w:rPr>
        <w:rFonts w:ascii="Times New Roman" w:hAnsi="Times New Roman" w:cs="Times New Roman"/>
        <w:b w:val="0"/>
        <w:noProof/>
        <w:sz w:val="32"/>
        <w:szCs w:val="32"/>
      </w:rPr>
      <w:pict w14:anchorId="635E41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6" o:spid="_x0000_s1026" type="#_x0000_t75" style="position:absolute;left:0;text-align:left;margin-left:0;margin-top:0;width:452.25pt;height:388.2pt;z-index:-251658752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  <w:r w:rsidR="00AA2BFB" w:rsidRPr="00883692">
      <w:rPr>
        <w:rFonts w:ascii="Times New Roman" w:hAnsi="Times New Roman" w:cs="Times New Roman"/>
        <w:b w:val="0"/>
        <w:sz w:val="30"/>
        <w:szCs w:val="30"/>
      </w:rPr>
      <w:t>CÂMARA MUNICIPAL DE ARAXÁ - ESTADO DE MINAS GERAIS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5A6C5" w14:textId="77777777" w:rsidR="00AA2BFB" w:rsidRDefault="00000000">
    <w:pPr>
      <w:pStyle w:val="Cabealho"/>
    </w:pPr>
    <w:r>
      <w:rPr>
        <w:noProof/>
      </w:rPr>
      <w:pict w14:anchorId="31F21C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32924" o:spid="_x0000_s1027" type="#_x0000_t75" style="position:absolute;margin-left:0;margin-top:0;width:452.25pt;height:388.2pt;z-index:-251657728;mso-position-horizontal:center;mso-position-horizontal-relative:margin;mso-position-vertical:center;mso-position-vertical-relative:margin" o:allowincell="f">
          <v:imagedata r:id="rId1" o:title="brasao_0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8001C4"/>
    <w:multiLevelType w:val="multilevel"/>
    <w:tmpl w:val="89585B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" w:eastAsia="DejaVu Sans" w:hAnsi="Times" w:cs="DejaVu Sans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8C51EC"/>
    <w:multiLevelType w:val="multilevel"/>
    <w:tmpl w:val="89585B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" w:eastAsia="DejaVu Sans" w:hAnsi="Times" w:cs="DejaVu Sans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2558243">
    <w:abstractNumId w:val="1"/>
  </w:num>
  <w:num w:numId="2" w16cid:durableId="201113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BFB"/>
    <w:rsid w:val="001523BB"/>
    <w:rsid w:val="001A488A"/>
    <w:rsid w:val="002E0430"/>
    <w:rsid w:val="00366FC4"/>
    <w:rsid w:val="003E1947"/>
    <w:rsid w:val="00693030"/>
    <w:rsid w:val="006A4ECE"/>
    <w:rsid w:val="00746CB1"/>
    <w:rsid w:val="008F1D2C"/>
    <w:rsid w:val="00987DB6"/>
    <w:rsid w:val="00997512"/>
    <w:rsid w:val="00AA2BFB"/>
    <w:rsid w:val="00C50535"/>
    <w:rsid w:val="00CE5404"/>
    <w:rsid w:val="00E510D9"/>
    <w:rsid w:val="00E8493D"/>
    <w:rsid w:val="00EF1278"/>
    <w:rsid w:val="00F1322C"/>
    <w:rsid w:val="00FC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502D40"/>
  <w15:chartTrackingRefBased/>
  <w15:docId w15:val="{EAFCCB31-7F97-4C2A-B2C6-BB95647BF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2BFB"/>
    <w:pPr>
      <w:widowControl w:val="0"/>
      <w:suppressAutoHyphens/>
      <w:autoSpaceDN w:val="0"/>
      <w:spacing w:after="0" w:line="240" w:lineRule="auto"/>
      <w:textAlignment w:val="baseline"/>
    </w:pPr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A2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2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2B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2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2B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2B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2B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2B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2B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2B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2B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2B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2BF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2BF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2B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2BF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2B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2B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2B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2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2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2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2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2BF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A2BF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2BF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2B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2BF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2BFB"/>
    <w:rPr>
      <w:b/>
      <w:bCs/>
      <w:smallCaps/>
      <w:color w:val="2F5496" w:themeColor="accent1" w:themeShade="BF"/>
      <w:spacing w:val="5"/>
    </w:rPr>
  </w:style>
  <w:style w:type="paragraph" w:customStyle="1" w:styleId="Cabealho1">
    <w:name w:val="Cabeçalho1"/>
    <w:basedOn w:val="Normal"/>
    <w:rsid w:val="00AA2BFB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Rodap1">
    <w:name w:val="Rodapé1"/>
    <w:basedOn w:val="Normal"/>
    <w:rsid w:val="00AA2BFB"/>
    <w:pPr>
      <w:suppressLineNumbers/>
      <w:tabs>
        <w:tab w:val="center" w:pos="4818"/>
        <w:tab w:val="right" w:pos="9637"/>
      </w:tabs>
      <w:jc w:val="center"/>
    </w:pPr>
    <w:rPr>
      <w:rFonts w:ascii="Arial" w:hAnsi="Arial"/>
      <w:b/>
      <w:bCs/>
      <w:sz w:val="20"/>
      <w:szCs w:val="20"/>
    </w:rPr>
  </w:style>
  <w:style w:type="paragraph" w:customStyle="1" w:styleId="HorizontalLine">
    <w:name w:val="Horizontal Line"/>
    <w:basedOn w:val="Normal"/>
    <w:next w:val="Normal"/>
    <w:rsid w:val="00AA2BFB"/>
    <w:pPr>
      <w:suppressLineNumbers/>
      <w:pBdr>
        <w:bottom w:val="double" w:sz="2" w:space="0" w:color="808080"/>
      </w:pBdr>
      <w:spacing w:after="283"/>
      <w:jc w:val="center"/>
    </w:pPr>
    <w:rPr>
      <w:rFonts w:ascii="Arial" w:hAnsi="Arial"/>
      <w:b/>
      <w:bCs/>
      <w:sz w:val="12"/>
      <w:szCs w:val="12"/>
    </w:rPr>
  </w:style>
  <w:style w:type="paragraph" w:styleId="Cabealho">
    <w:name w:val="header"/>
    <w:basedOn w:val="Normal"/>
    <w:link w:val="CabealhoChar"/>
    <w:uiPriority w:val="99"/>
    <w:unhideWhenUsed/>
    <w:rsid w:val="00AA2B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2BFB"/>
    <w:rPr>
      <w:rFonts w:ascii="Times" w:eastAsia="DejaVu Sans" w:hAnsi="Times" w:cs="DejaVu Sans"/>
      <w:kern w:val="3"/>
      <w:sz w:val="24"/>
      <w:szCs w:val="24"/>
      <w:lang w:eastAsia="pt-BR"/>
      <w14:ligatures w14:val="none"/>
    </w:rPr>
  </w:style>
  <w:style w:type="character" w:customStyle="1" w:styleId="apple-style-span">
    <w:name w:val="apple-style-span"/>
    <w:basedOn w:val="Fontepargpadro"/>
    <w:rsid w:val="00AA2BFB"/>
  </w:style>
  <w:style w:type="character" w:styleId="Hyperlink">
    <w:name w:val="Hyperlink"/>
    <w:unhideWhenUsed/>
    <w:rsid w:val="00AA2B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axa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IFR. Rocha</dc:creator>
  <cp:keywords/>
  <dc:description/>
  <cp:lastModifiedBy>Cintia Alves</cp:lastModifiedBy>
  <cp:revision>2</cp:revision>
  <dcterms:created xsi:type="dcterms:W3CDTF">2025-08-18T16:18:00Z</dcterms:created>
  <dcterms:modified xsi:type="dcterms:W3CDTF">2025-08-18T16:18:00Z</dcterms:modified>
</cp:coreProperties>
</file>