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1F42547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DF005C">
        <w:rPr>
          <w:rFonts w:asciiTheme="minorHAnsi" w:hAnsiTheme="minorHAnsi" w:cstheme="minorHAnsi"/>
        </w:rPr>
        <w:t>152</w:t>
      </w:r>
      <w:bookmarkStart w:id="0" w:name="_GoBack"/>
      <w:bookmarkEnd w:id="0"/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1C5A1ED" w14:textId="1062D4F2" w:rsidR="00DF005C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DF005C">
        <w:rPr>
          <w:rFonts w:asciiTheme="minorHAnsi" w:hAnsiTheme="minorHAnsi" w:cstheme="minorHAnsi"/>
        </w:rPr>
        <w:t>solicitação a</w:t>
      </w:r>
      <w:r w:rsidR="00DF005C" w:rsidRPr="00DF005C">
        <w:rPr>
          <w:rFonts w:asciiTheme="minorHAnsi" w:hAnsiTheme="minorHAnsi" w:cstheme="minorHAnsi"/>
        </w:rPr>
        <w:t>o poder executivo que troque o alambrado e coloque a iluminação no Campo de Santa Clara, bem como que o executivo elabore um projeto para aprovação da compra de um lote para a construção de um vestiário.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5C1D6" w14:textId="77777777" w:rsidR="00D016B0" w:rsidRDefault="00D016B0" w:rsidP="00C90704">
      <w:pPr>
        <w:spacing w:after="0" w:line="240" w:lineRule="auto"/>
      </w:pPr>
      <w:r>
        <w:separator/>
      </w:r>
    </w:p>
  </w:endnote>
  <w:endnote w:type="continuationSeparator" w:id="0">
    <w:p w14:paraId="1E05C545" w14:textId="77777777" w:rsidR="00D016B0" w:rsidRDefault="00D016B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D3D01" w14:textId="77777777" w:rsidR="00D016B0" w:rsidRDefault="00D016B0" w:rsidP="00C90704">
      <w:pPr>
        <w:spacing w:after="0" w:line="240" w:lineRule="auto"/>
      </w:pPr>
      <w:r>
        <w:separator/>
      </w:r>
    </w:p>
  </w:footnote>
  <w:footnote w:type="continuationSeparator" w:id="0">
    <w:p w14:paraId="08F1EF59" w14:textId="77777777" w:rsidR="00D016B0" w:rsidRDefault="00D016B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016B0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005C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2024-06-25T16:09:00Z</cp:lastPrinted>
  <dcterms:created xsi:type="dcterms:W3CDTF">2024-06-28T16:53:00Z</dcterms:created>
  <dcterms:modified xsi:type="dcterms:W3CDTF">2024-06-28T16:53:00Z</dcterms:modified>
</cp:coreProperties>
</file>