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dodocumento"/>
        <w:spacing w:lineRule="auto" w:line="360" w:before="480" w:after="12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PROJETO</w:t>
      </w:r>
      <w:r>
        <w:rPr>
          <w:rFonts w:cs="Times New Roman" w:ascii="Times New Roman" w:hAnsi="Times New Roman"/>
          <w:spacing w:val="-3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DE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LEI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Nº</w:t>
      </w:r>
      <w:r>
        <w:rPr>
          <w:rFonts w:cs="Times New Roman" w:ascii="Times New Roman" w:hAnsi="Times New Roman"/>
          <w:spacing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1C1C1C"/>
          <w:spacing w:val="2"/>
          <w:sz w:val="28"/>
          <w:szCs w:val="28"/>
        </w:rPr>
        <w:t>046</w:t>
      </w:r>
      <w:r>
        <w:rPr>
          <w:rFonts w:cs="Times New Roman" w:ascii="Times New Roman" w:hAnsi="Times New Roman"/>
          <w:color w:val="1C1C1C"/>
          <w:sz w:val="28"/>
          <w:szCs w:val="28"/>
        </w:rPr>
        <w:t>/2022</w:t>
      </w:r>
    </w:p>
    <w:p>
      <w:pPr>
        <w:pStyle w:val="Normal"/>
        <w:spacing w:lineRule="auto" w:line="360" w:before="185" w:after="160"/>
        <w:ind w:left="3540" w:right="283" w:hanging="0"/>
        <w:jc w:val="both"/>
        <w:rPr/>
      </w:pPr>
      <w:r>
        <w:rPr>
          <w:rFonts w:cs="Tahoma" w:ascii="Garamond" w:hAnsi="Garamond"/>
          <w:b/>
          <w:sz w:val="28"/>
          <w:szCs w:val="28"/>
        </w:rPr>
        <w:t>DISPÕE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SOBRE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OS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BENEFÍCIOS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EVENTUAIS,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NO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ÂMBITO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DA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POLÍTICA PÚBLICA DE ASSISTÊNCIA SOCIAL NO MUNICÍPIO, E</w:t>
      </w:r>
      <w:r>
        <w:rPr>
          <w:rFonts w:cs="Tahoma" w:ascii="Garamond" w:hAnsi="Garamond"/>
          <w:b/>
          <w:spacing w:val="1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>DÁ</w:t>
      </w:r>
      <w:r>
        <w:rPr>
          <w:rFonts w:cs="Tahoma" w:ascii="Garamond" w:hAnsi="Garamond"/>
          <w:b/>
          <w:spacing w:val="-2"/>
          <w:sz w:val="28"/>
          <w:szCs w:val="28"/>
        </w:rPr>
        <w:t xml:space="preserve"> </w:t>
      </w:r>
      <w:r>
        <w:rPr>
          <w:rFonts w:cs="Tahoma" w:ascii="Garamond" w:hAnsi="Garamond"/>
          <w:b/>
          <w:sz w:val="28"/>
          <w:szCs w:val="28"/>
        </w:rPr>
        <w:t xml:space="preserve">OUTRAS PROVIDÊNCIAS. </w:t>
      </w:r>
    </w:p>
    <w:p>
      <w:pPr>
        <w:pStyle w:val="Corpodotexto"/>
        <w:spacing w:lineRule="auto" w:line="360" w:before="6" w:after="0"/>
        <w:ind w:left="-284" w:right="283" w:firstLine="568"/>
        <w:jc w:val="both"/>
        <w:rPr>
          <w:rFonts w:ascii="Garamond" w:hAnsi="Garamond" w:cs="Tahoma"/>
          <w:b/>
          <w:b/>
          <w:sz w:val="28"/>
          <w:szCs w:val="28"/>
        </w:rPr>
      </w:pPr>
      <w:r>
        <w:rPr>
          <w:rFonts w:cs="Tahoma" w:ascii="Garamond" w:hAnsi="Garamond"/>
          <w:b/>
          <w:sz w:val="28"/>
          <w:szCs w:val="28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O </w:t>
      </w:r>
      <w:r>
        <w:rPr>
          <w:rFonts w:cs="Times New Roman" w:ascii="Times New Roman" w:hAnsi="Times New Roman"/>
          <w:b/>
          <w:bCs/>
          <w:sz w:val="28"/>
          <w:szCs w:val="28"/>
        </w:rPr>
        <w:t>Prefeito do Município de Goiana/PE</w:t>
      </w:r>
      <w:r>
        <w:rPr>
          <w:rFonts w:cs="Times New Roman" w:ascii="Times New Roman" w:hAnsi="Times New Roman"/>
          <w:sz w:val="28"/>
          <w:szCs w:val="28"/>
        </w:rPr>
        <w:t>, no uso de suas atribuições legais e, ainda, amparado na Lei Orgânica do Município, submete à apreciação da Câmara Municipal de Vereadores o seguinte texto: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rpodotexto"/>
        <w:spacing w:lineRule="auto" w:line="360" w:before="179" w:after="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CAPÍTULO I</w:t>
      </w:r>
    </w:p>
    <w:p>
      <w:pPr>
        <w:pStyle w:val="Corpodotexto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Das</w:t>
      </w:r>
      <w:r>
        <w:rPr>
          <w:rFonts w:cs="Tahoma" w:ascii="Times New Roman" w:hAnsi="Times New Roman"/>
          <w:b/>
          <w:bCs/>
          <w:spacing w:val="-2"/>
          <w:sz w:val="28"/>
          <w:szCs w:val="28"/>
        </w:rPr>
        <w:t xml:space="preserve"> </w:t>
      </w:r>
      <w:r>
        <w:rPr>
          <w:rFonts w:cs="Tahoma" w:ascii="Times New Roman" w:hAnsi="Times New Roman"/>
          <w:b/>
          <w:bCs/>
          <w:sz w:val="28"/>
          <w:szCs w:val="28"/>
        </w:rPr>
        <w:t>Disposições</w:t>
      </w:r>
      <w:r>
        <w:rPr>
          <w:rFonts w:cs="Tahoma" w:ascii="Times New Roman" w:hAnsi="Times New Roman"/>
          <w:b/>
          <w:bCs/>
          <w:spacing w:val="-2"/>
          <w:sz w:val="28"/>
          <w:szCs w:val="28"/>
        </w:rPr>
        <w:t xml:space="preserve"> </w:t>
      </w:r>
      <w:r>
        <w:rPr>
          <w:rFonts w:cs="Tahoma" w:ascii="Times New Roman" w:hAnsi="Times New Roman"/>
          <w:b/>
          <w:bCs/>
          <w:sz w:val="28"/>
          <w:szCs w:val="28"/>
        </w:rPr>
        <w:t>Gerais</w:t>
      </w:r>
    </w:p>
    <w:p>
      <w:pPr>
        <w:pStyle w:val="Corpodotexto"/>
        <w:spacing w:lineRule="auto" w:line="360"/>
        <w:ind w:left="-284" w:right="283" w:firstLine="568"/>
        <w:jc w:val="center"/>
        <w:rPr>
          <w:rFonts w:ascii="Times New Roman" w:hAnsi="Times New Roman" w:cs="Tahoma"/>
          <w:b/>
          <w:b/>
          <w:bCs/>
          <w:sz w:val="28"/>
          <w:szCs w:val="28"/>
        </w:rPr>
      </w:pPr>
      <w:r>
        <w:rPr>
          <w:rFonts w:cs="Tahoma" w:ascii="Times New Roman" w:hAnsi="Times New Roman"/>
          <w:b/>
          <w:bCs/>
          <w:sz w:val="28"/>
          <w:szCs w:val="28"/>
        </w:rPr>
      </w:r>
    </w:p>
    <w:p>
      <w:pPr>
        <w:pStyle w:val="Corpodotexto"/>
        <w:spacing w:lineRule="auto" w:line="360" w:before="184" w:after="0"/>
        <w:ind w:left="-284" w:right="283" w:hanging="0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ab/>
        <w:t>Art.</w:t>
      </w:r>
      <w:r>
        <w:rPr>
          <w:rFonts w:cs="Tahoma" w:ascii="Times New Roman" w:hAnsi="Times New Roman"/>
          <w:b/>
          <w:bCs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b/>
          <w:bCs/>
          <w:sz w:val="28"/>
          <w:szCs w:val="28"/>
        </w:rPr>
        <w:t>1º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– </w:t>
      </w:r>
      <w:r>
        <w:rPr>
          <w:rFonts w:cs="Tahoma" w:ascii="Times New Roman" w:hAnsi="Times New Roman"/>
          <w:sz w:val="28"/>
          <w:szCs w:val="28"/>
        </w:rPr>
        <w:t>Esta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Lei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tem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por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objetivo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regulamentar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concessão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benefícios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eventuais, de acordo com a Lei Federal nº 8.742, de 07 de dezembro de 1993 – Lei Orgânica 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Assistência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Social – LOAS –, regulamentada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pelo Decreto nº 6.307, 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14 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dezembro 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2007.</w:t>
      </w:r>
    </w:p>
    <w:p>
      <w:pPr>
        <w:pStyle w:val="Corpodotexto"/>
        <w:spacing w:lineRule="auto" w:line="360" w:before="186" w:after="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Parágrafo único. </w:t>
      </w:r>
      <w:r>
        <w:rPr>
          <w:rFonts w:cs="Tahoma" w:ascii="Times New Roman" w:hAnsi="Times New Roman"/>
          <w:sz w:val="28"/>
          <w:szCs w:val="28"/>
        </w:rPr>
        <w:t>Os benefícios eventuais da Política de Assistência Social, são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provisões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suplementares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provisórias,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prestadas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cidadãos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às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famílias,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em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virtude</w:t>
      </w:r>
      <w:r>
        <w:rPr>
          <w:rFonts w:cs="Tahoma" w:ascii="Times New Roman" w:hAnsi="Times New Roman"/>
          <w:spacing w:val="60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nascimento,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morte, situações de vulnerabilidade</w:t>
      </w:r>
      <w:r>
        <w:rPr>
          <w:rFonts w:cs="Tahoma" w:ascii="Times New Roman" w:hAnsi="Times New Roman"/>
          <w:spacing w:val="-2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temporária</w:t>
      </w:r>
      <w:r>
        <w:rPr>
          <w:rFonts w:cs="Tahoma" w:ascii="Times New Roman" w:hAnsi="Times New Roman"/>
          <w:spacing w:val="-2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calamidade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pública.</w:t>
      </w:r>
    </w:p>
    <w:p>
      <w:pPr>
        <w:pStyle w:val="Corpodotexto"/>
        <w:spacing w:lineRule="auto" w:line="360" w:before="182" w:after="0"/>
        <w:ind w:left="-284" w:right="283" w:hanging="0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ab/>
        <w:t xml:space="preserve">Art. 2º – </w:t>
      </w:r>
      <w:r>
        <w:rPr>
          <w:rFonts w:cs="Tahoma" w:ascii="Times New Roman" w:hAnsi="Times New Roman"/>
          <w:sz w:val="28"/>
          <w:szCs w:val="28"/>
        </w:rPr>
        <w:t>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benefício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eventual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destina-se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cidadãos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às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famílias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com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impossibilidade de arcar, por meios próprios, com o enfrentamento de contingências sociais, cuja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ocorrência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provoca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risco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fragiliza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manutenção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indivíduo,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unidade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familiar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e/ou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sobrevivência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seus membros.</w:t>
      </w:r>
    </w:p>
    <w:p>
      <w:pPr>
        <w:pStyle w:val="Corpodotexto"/>
        <w:spacing w:lineRule="auto" w:line="360" w:before="182" w:after="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Parágrafo Único</w:t>
      </w:r>
      <w:r>
        <w:rPr>
          <w:rFonts w:cs="Tahoma" w:ascii="Times New Roman" w:hAnsi="Times New Roman"/>
          <w:sz w:val="28"/>
          <w:szCs w:val="28"/>
        </w:rPr>
        <w:t xml:space="preserve"> – Os benefícios eventuais serão concedidos mediante estudo social e parecer técnico, elaborado por assistente social que compõe as equipes de referência dos equipamentos sociais – Centros de Referência de Assistência Social – CRAS – e Centro de Referência Especializado de Assistência Social – CREAS – e/ou Secretaria de Políticas Sociais. </w:t>
      </w:r>
    </w:p>
    <w:p>
      <w:pPr>
        <w:pStyle w:val="Corpodotexto"/>
        <w:spacing w:lineRule="auto" w:line="360" w:before="185" w:after="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3º</w:t>
      </w:r>
      <w:r>
        <w:rPr>
          <w:rFonts w:cs="Tahoma" w:ascii="Times New Roman" w:hAnsi="Times New Roman"/>
          <w:sz w:val="28"/>
          <w:szCs w:val="28"/>
        </w:rPr>
        <w:t xml:space="preserve"> – Os critérios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 prazos para prestação dos benefícios eventuais devem ser estabelecidos por meio de Resolução do Conselho Municipal de Assistência Social, conforme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prevê</w:t>
      </w:r>
      <w:r>
        <w:rPr>
          <w:rFonts w:cs="Tahoma" w:ascii="Times New Roman" w:hAnsi="Times New Roman"/>
          <w:spacing w:val="-2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o art. 1º, §2º, do Decreto N° 6.307, de 14 de dezembro de 2007, e o art. 22, §1º, da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Lei Federal nº 8.742/1993.</w:t>
      </w:r>
    </w:p>
    <w:p>
      <w:pPr>
        <w:pStyle w:val="Corpodotexto"/>
        <w:spacing w:lineRule="auto" w:line="360" w:before="182" w:after="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SEÇÃO I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Dos Princípios dos Benefícios Eventuais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4º</w:t>
      </w:r>
      <w:r>
        <w:rPr>
          <w:rFonts w:cs="Tahoma" w:ascii="Times New Roman" w:hAnsi="Times New Roman"/>
          <w:sz w:val="28"/>
          <w:szCs w:val="28"/>
        </w:rPr>
        <w:t xml:space="preserve"> – O benefício eventual deve atender, no âmbito do SUAS, aos seguintes princípios: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 – integração à rede de serviços socioassistenciais, com vistas ao atendimento das necessidades humanas básicas;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 xml:space="preserve">II – constituição de provisão certa, para enfrentar, com agilidade e presteza, eventos incertos; 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III – proibição de subordinação a contribuições prévias e de vinculação a contrapartidas;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IV – adoção de critérios de elegibilidade, em consonância com a Política Nacional de Assistência Social – PNAS;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V – garantia de qualidade e prontidão de respostas aos usuários, bem como de espaços para manifestação e defesa de seus direitos;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VI – garantia de igualdade de condições no acesso às informações e à fruição do benefício eventual;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 xml:space="preserve">VII – afirmação dos benefícios eventuais como direito relativo à cidadania; 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VIII – ampla divulgação dos critérios para a sua concessão; e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IX – desvinculação de comprovações complexas e vexatórias de pobreza, que estigmatizem os benefícios, os beneficiários e a política de assistência social.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CAPÍTULO II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sz w:val="28"/>
          <w:szCs w:val="28"/>
        </w:rPr>
        <w:t>Das Modalidades de Benefícios Eventuais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SEÇÃO I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Auxílio Natalidade</w:t>
      </w:r>
    </w:p>
    <w:p>
      <w:pPr>
        <w:pStyle w:val="Normal"/>
        <w:spacing w:lineRule="auto" w:line="360"/>
        <w:ind w:left="-284" w:right="283" w:firstLine="568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Art.5º</w:t>
      </w:r>
      <w:r>
        <w:rPr>
          <w:rFonts w:cs="Tahoma" w:ascii="Times New Roman" w:hAnsi="Times New Roman"/>
          <w:sz w:val="28"/>
          <w:szCs w:val="28"/>
        </w:rPr>
        <w:t xml:space="preserve"> - O Auxílio Natalidade constitui-se em uma prestação temporária, não contributiva da Assistência Social, em bens de consumo, para reduzir a vulnerabilidade por nascimento de membro da família, destinado a atender as necessidades do nascituro.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Art. 6º - </w:t>
      </w:r>
      <w:r>
        <w:rPr>
          <w:rFonts w:cs="Tahoma" w:ascii="Times New Roman" w:hAnsi="Times New Roman"/>
          <w:sz w:val="28"/>
          <w:szCs w:val="28"/>
        </w:rPr>
        <w:t>O Auxílio Natalidade atenderá, preferencialmente, aos seguintes aspectos: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 – necessidades do nascituro;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 – apoio à mãe nos casos de natimorto e morte do recém-nascido; e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III – apoio à família no caso de morte da mãe.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7º</w:t>
      </w:r>
      <w:r>
        <w:rPr>
          <w:rFonts w:cs="Tahoma" w:ascii="Times New Roman" w:hAnsi="Times New Roman"/>
          <w:sz w:val="28"/>
          <w:szCs w:val="28"/>
        </w:rPr>
        <w:t xml:space="preserve"> – O Auxílio Natalidade disposto no art. 6º, inciso I, da presente Lei, será concedido por meio de bens de consumo e integrado pelo enxoval do recém-nascido, que deverá ser regulamentado em Decreto do Executivo. </w:t>
      </w:r>
    </w:p>
    <w:p>
      <w:pPr>
        <w:pStyle w:val="Normal"/>
        <w:spacing w:lineRule="auto" w:line="360"/>
        <w:ind w:left="-284" w:right="283" w:firstLine="568"/>
        <w:jc w:val="both"/>
        <w:rPr>
          <w:rFonts w:ascii="Times New Roman" w:hAnsi="Times New Roman" w:cs="Tahoma"/>
          <w:b/>
          <w:b/>
          <w:bCs/>
          <w:sz w:val="28"/>
          <w:szCs w:val="28"/>
        </w:rPr>
      </w:pPr>
      <w:r>
        <w:rPr>
          <w:rFonts w:cs="Tahoma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SEÇÃO II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Auxílio Funeral</w:t>
      </w:r>
    </w:p>
    <w:p>
      <w:pPr>
        <w:pStyle w:val="Normal"/>
        <w:spacing w:lineRule="auto" w:line="360"/>
        <w:ind w:left="-284" w:right="283" w:firstLine="568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Art. 8º – </w:t>
      </w:r>
      <w:r>
        <w:rPr>
          <w:rFonts w:cs="Tahoma" w:ascii="Times New Roman" w:hAnsi="Times New Roman"/>
          <w:sz w:val="28"/>
          <w:szCs w:val="28"/>
        </w:rPr>
        <w:t>O Auxílio Funeral constitui-se em um benefício eventual, não contributivo da Assistência Social, mediante a concessão de prestação de serviços e/ou bens de consumo, visando reduzir a vulnerabilidade provocada pela morte de membro da família, com atendimento prioritário de: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 – custeio das despesas de urna funerária, velório e sepultamento;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 – custeio de necessidades urgentes da família, para enfrentar riscos e vulnerabilidade advindos da morte de um de seus provedores ou membros.</w:t>
      </w:r>
    </w:p>
    <w:p>
      <w:pPr>
        <w:pStyle w:val="Normal"/>
        <w:spacing w:lineRule="auto" w:line="360"/>
        <w:ind w:left="-284" w:right="283" w:firstLine="568"/>
        <w:jc w:val="both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SEÇÃO III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Situação de Vulnerabilidade Temporária</w:t>
      </w:r>
    </w:p>
    <w:p>
      <w:pPr>
        <w:pStyle w:val="Normal"/>
        <w:spacing w:lineRule="auto" w:line="360"/>
        <w:ind w:left="-284" w:right="283" w:firstLine="568"/>
        <w:jc w:val="center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Art. 9º – </w:t>
      </w:r>
      <w:r>
        <w:rPr>
          <w:rFonts w:cs="Tahoma" w:ascii="Times New Roman" w:hAnsi="Times New Roman"/>
          <w:sz w:val="28"/>
          <w:szCs w:val="28"/>
        </w:rPr>
        <w:t>A situação de vulnerabilidade temporária caracteriza-se pelo advento de riscos, perdas e danos à integridade pessoal e familiar, assim entendidos: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 – riscos: ameaça de sérios padecimentos;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 xml:space="preserve">II – perdas: privação de bens e de segurança material; e 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III – danos: agravos sociais e ofensas.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sz w:val="28"/>
          <w:szCs w:val="28"/>
        </w:rPr>
        <w:t>Parágrafo único</w:t>
      </w:r>
      <w:r>
        <w:rPr>
          <w:rFonts w:cs="Tahoma" w:ascii="Times New Roman" w:hAnsi="Times New Roman"/>
          <w:sz w:val="28"/>
          <w:szCs w:val="28"/>
        </w:rPr>
        <w:t xml:space="preserve">. Os riscos, as perdas e os danos podem decorrer: 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 – da falta de: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a) acesso a condições e meios para suprir a reprodução social cotidiana do solicitante e de sua família, principalmente a de alimentação;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 xml:space="preserve">b) documentação; e 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c) domicílio.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 – da situação de abandono ou da impossibilidade de garantir abrigo aos filhos;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III – da perda circunstancial, decorrente da ruptura de vínculos familiares, da presença de violência física ou psicológica na família ou de situações de ameaça à vida;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IV – de desastres e de calamidade pública; e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V – de outras situações que comprometam a sobrevivência.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10</w:t>
      </w:r>
      <w:r>
        <w:rPr>
          <w:rFonts w:cs="Tahoma" w:ascii="Times New Roman" w:hAnsi="Times New Roman"/>
          <w:sz w:val="28"/>
          <w:szCs w:val="28"/>
        </w:rPr>
        <w:t xml:space="preserve"> – A efetividade e o aproveitamento dos benefícios eventuais, em situação de vulnerabilidade temporária, dependerão do apoio e do desenvolvimento conjunto das demais políticas públicas de atendimento à população, bem como do empenho das próprias famílias beneficiárias, que deverão envidar esforços em prol do crescimento individual e social de seus membros, favorecendo o processo de construção da cidadania.</w:t>
      </w:r>
    </w:p>
    <w:p>
      <w:pPr>
        <w:pStyle w:val="Normal"/>
        <w:spacing w:lineRule="auto" w:line="360"/>
        <w:ind w:left="-284" w:right="283" w:firstLine="568"/>
        <w:jc w:val="center"/>
        <w:rPr>
          <w:rFonts w:ascii="Times New Roman" w:hAnsi="Times New Roman" w:cs="Tahoma"/>
          <w:sz w:val="28"/>
          <w:szCs w:val="28"/>
        </w:rPr>
      </w:pPr>
      <w:r>
        <w:rPr>
          <w:rFonts w:cs="Tahoma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SEÇÃO IV 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Situação de Calamidade Pública</w:t>
      </w:r>
    </w:p>
    <w:p>
      <w:pPr>
        <w:pStyle w:val="Normal"/>
        <w:spacing w:lineRule="auto" w:line="360"/>
        <w:ind w:left="-284" w:right="283" w:firstLine="568"/>
        <w:jc w:val="center"/>
        <w:rPr>
          <w:rFonts w:ascii="Times New Roman" w:hAnsi="Times New Roman" w:cs="Tahoma"/>
          <w:b/>
          <w:b/>
          <w:bCs/>
          <w:sz w:val="28"/>
          <w:szCs w:val="28"/>
        </w:rPr>
      </w:pPr>
      <w:r>
        <w:rPr>
          <w:rFonts w:cs="Tahoma" w:ascii="Times New Roman" w:hAnsi="Times New Roman"/>
          <w:b/>
          <w:bCs/>
          <w:sz w:val="28"/>
          <w:szCs w:val="28"/>
        </w:rPr>
      </w:r>
    </w:p>
    <w:p>
      <w:pPr>
        <w:pStyle w:val="Corpodotexto"/>
        <w:spacing w:lineRule="auto" w:line="360" w:before="182" w:after="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Art. 11 – </w:t>
      </w:r>
      <w:r>
        <w:rPr>
          <w:rFonts w:cs="Tahoma" w:ascii="Times New Roman" w:hAnsi="Times New Roman"/>
          <w:sz w:val="28"/>
          <w:szCs w:val="28"/>
        </w:rPr>
        <w:t>Os benefícios eventuais, prestados em virtude de desastre ou calamidade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pública,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constituem-se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provisão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suplementar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provisória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assistência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social,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para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garantir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meios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necessários à sobrevivência da família e do indivíduo, com o objetivo de assegurar a dignidade e 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reconstrução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da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autonomia familiar e</w:t>
      </w:r>
      <w:r>
        <w:rPr>
          <w:rFonts w:cs="Tahoma" w:ascii="Times New Roman" w:hAnsi="Times New Roman"/>
          <w:spacing w:val="-2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pessoal.</w:t>
      </w:r>
    </w:p>
    <w:p>
      <w:pPr>
        <w:pStyle w:val="Corpodotexto"/>
        <w:spacing w:lineRule="auto" w:line="360" w:before="182" w:after="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12</w:t>
      </w:r>
      <w:r>
        <w:rPr>
          <w:rFonts w:cs="Tahoma" w:ascii="Times New Roman" w:hAnsi="Times New Roman"/>
          <w:sz w:val="28"/>
          <w:szCs w:val="28"/>
        </w:rPr>
        <w:t xml:space="preserve"> – As situações de calamidade pública e desastre, caracterizam-se por eventos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anormais, decorrentes de baixas ou altas temperaturas, tempestades, enchentes, secas, inversão térmica,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desabamentos, incêndios, epidemias, os quais causem sérios danos à comunidade afetada, inclusive à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segurança</w:t>
      </w:r>
      <w:r>
        <w:rPr>
          <w:rFonts w:cs="Tahoma" w:ascii="Times New Roman" w:hAnsi="Times New Roman"/>
          <w:spacing w:val="-2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ou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à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vida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seus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integrantes, e</w:t>
      </w:r>
      <w:r>
        <w:rPr>
          <w:rFonts w:cs="Tahoma" w:ascii="Times New Roman" w:hAnsi="Times New Roman"/>
          <w:spacing w:val="-3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outras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situações imprevistas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ou decorrentes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 caso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fortuito.</w:t>
      </w:r>
    </w:p>
    <w:p>
      <w:pPr>
        <w:pStyle w:val="Corpodotexto"/>
        <w:spacing w:lineRule="auto" w:line="360" w:before="185" w:after="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Parágrafo Único</w:t>
      </w:r>
      <w:r>
        <w:rPr>
          <w:rFonts w:cs="Tahoma" w:ascii="Times New Roman" w:hAnsi="Times New Roman"/>
          <w:sz w:val="28"/>
          <w:szCs w:val="28"/>
        </w:rPr>
        <w:t xml:space="preserve"> – O benefício será concedido na forma de bens 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consumo,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em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caráter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provisório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suplementar,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sendo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fixado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acordo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com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o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grau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complexidade</w:t>
      </w:r>
      <w:r>
        <w:rPr>
          <w:rFonts w:cs="Tahoma" w:ascii="Times New Roman" w:hAnsi="Times New Roman"/>
          <w:spacing w:val="-3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do atendimento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vulnerabilidade e</w:t>
      </w:r>
      <w:r>
        <w:rPr>
          <w:rFonts w:cs="Tahoma" w:ascii="Times New Roman" w:hAnsi="Times New Roman"/>
          <w:spacing w:val="-2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risco pessoal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das famílias e</w:t>
      </w:r>
      <w:r>
        <w:rPr>
          <w:rFonts w:cs="Tahoma" w:ascii="Times New Roman" w:hAnsi="Times New Roman"/>
          <w:spacing w:val="-3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indivíduos afetados.</w:t>
      </w:r>
    </w:p>
    <w:p>
      <w:pPr>
        <w:pStyle w:val="Corpodotexto"/>
        <w:spacing w:lineRule="auto" w:line="360" w:before="186" w:after="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13</w:t>
      </w:r>
      <w:r>
        <w:rPr>
          <w:rFonts w:cs="Tahoma" w:ascii="Times New Roman" w:hAnsi="Times New Roman"/>
          <w:sz w:val="28"/>
          <w:szCs w:val="28"/>
        </w:rPr>
        <w:t xml:space="preserve"> – Ato normativo editado pelo Poder Executivo Municipal disporá sobre os</w:t>
      </w:r>
      <w:r>
        <w:rPr>
          <w:rFonts w:cs="Tahoma" w:ascii="Times New Roman" w:hAnsi="Times New Roman"/>
          <w:spacing w:val="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procedimentos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e fluxos de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oferta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na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prestação dos</w:t>
      </w:r>
      <w:r>
        <w:rPr>
          <w:rFonts w:cs="Tahoma" w:ascii="Times New Roman" w:hAnsi="Times New Roman"/>
          <w:spacing w:val="-1"/>
          <w:sz w:val="28"/>
          <w:szCs w:val="28"/>
        </w:rPr>
        <w:t xml:space="preserve"> </w:t>
      </w:r>
      <w:r>
        <w:rPr>
          <w:rFonts w:cs="Tahoma" w:ascii="Times New Roman" w:hAnsi="Times New Roman"/>
          <w:sz w:val="28"/>
          <w:szCs w:val="28"/>
        </w:rPr>
        <w:t>benefícios eventuais.</w:t>
      </w:r>
    </w:p>
    <w:p>
      <w:pPr>
        <w:pStyle w:val="Corpodotexto"/>
        <w:spacing w:lineRule="auto" w:line="360" w:before="186" w:after="0"/>
        <w:ind w:left="-284" w:right="283" w:firstLine="568"/>
        <w:jc w:val="both"/>
        <w:rPr>
          <w:rFonts w:ascii="Times New Roman" w:hAnsi="Times New Roman" w:cs="Tahoma"/>
          <w:b/>
          <w:b/>
          <w:bCs/>
          <w:sz w:val="28"/>
          <w:szCs w:val="28"/>
        </w:rPr>
      </w:pPr>
      <w:r>
        <w:rPr>
          <w:rFonts w:cs="Tahoma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CAPÍTULO III</w:t>
      </w:r>
    </w:p>
    <w:p>
      <w:pPr>
        <w:pStyle w:val="Normal"/>
        <w:spacing w:lineRule="auto" w:line="360"/>
        <w:ind w:left="-284" w:right="283" w:firstLine="568"/>
        <w:jc w:val="center"/>
        <w:rPr/>
      </w:pPr>
      <w:r>
        <w:rPr>
          <w:rFonts w:cs="Tahoma" w:ascii="Times New Roman" w:hAnsi="Times New Roman"/>
          <w:b/>
          <w:bCs/>
          <w:sz w:val="28"/>
          <w:szCs w:val="28"/>
        </w:rPr>
        <w:t>Das Disposições Finais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Art. 14 – </w:t>
      </w:r>
      <w:r>
        <w:rPr>
          <w:rFonts w:cs="Tahoma" w:ascii="Times New Roman" w:hAnsi="Times New Roman"/>
          <w:sz w:val="28"/>
          <w:szCs w:val="28"/>
        </w:rPr>
        <w:t>A Secretaria Municipal de Políticas Sociais será o órgão responsável pela gestão dos benefícios previstos nesta lei.</w:t>
      </w:r>
    </w:p>
    <w:p>
      <w:pPr>
        <w:pStyle w:val="Normal"/>
        <w:spacing w:lineRule="auto" w:line="360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     </w:t>
      </w:r>
      <w:r>
        <w:rPr>
          <w:rFonts w:cs="Tahoma" w:ascii="Times New Roman" w:hAnsi="Times New Roman"/>
          <w:b/>
          <w:bCs/>
          <w:sz w:val="28"/>
          <w:szCs w:val="28"/>
        </w:rPr>
        <w:t>Art. 15</w:t>
      </w:r>
      <w:r>
        <w:rPr>
          <w:rFonts w:cs="Tahoma" w:ascii="Times New Roman" w:hAnsi="Times New Roman"/>
          <w:sz w:val="28"/>
          <w:szCs w:val="28"/>
        </w:rPr>
        <w:t xml:space="preserve"> – Caberá ao município, por sua Secretaria de Políticas Sociais: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 – a coordenação geral, a operacionalização e a avaliação da prestação de benefícios eventuais;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 – a realização de estudos de diagnóstico e monitoramento da demanda para ampliação dos benefícios eventuais;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III – o financiamento dos benefícios eventuais;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sz w:val="28"/>
          <w:szCs w:val="28"/>
        </w:rPr>
        <w:t>IV – expedir as instruções e instituir formulários e modelos de documentos necessários à operacionalização dos benefícios eventuais.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Art. 16 – </w:t>
      </w:r>
      <w:r>
        <w:rPr>
          <w:rFonts w:cs="Tahoma" w:ascii="Times New Roman" w:hAnsi="Times New Roman"/>
          <w:sz w:val="28"/>
          <w:szCs w:val="28"/>
        </w:rPr>
        <w:t>Caberá ao Conselho Municipal de Assistência Social – CMAS - fornecer ao município informações sobre irregularidades na aplicação do regulamento dos benefícios eventuais, bem como avaliar e propor, a cada ano, se necessário, a reformulação e regulamentação da concessão dos benefícios.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17</w:t>
      </w:r>
      <w:r>
        <w:rPr>
          <w:rFonts w:cs="Tahoma" w:ascii="Times New Roman" w:hAnsi="Times New Roman"/>
          <w:sz w:val="28"/>
          <w:szCs w:val="28"/>
        </w:rPr>
        <w:t xml:space="preserve"> – Com a aprovação, pelo Conselho Nacional de Assistência Social – CNAS –, da Resolução nº 39, de 09 de dezembro de 2010, que reordenou os benefícios eventuais, no âmbito da Política de Assistência Social em relação à Política de Saúde, não são provisões da Política de Assistência Social os itens referentes à órtese, prótese, cadeiras de roda, muletas, óculos, leites, dietas de prescrição especial e fraldas descartáveis para pessoas que tem necessidade de uso e outros itens inerentes à área da saúde.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 xml:space="preserve">Art. 18 – </w:t>
      </w:r>
      <w:r>
        <w:rPr>
          <w:rFonts w:cs="Tahoma" w:ascii="Times New Roman" w:hAnsi="Times New Roman"/>
          <w:sz w:val="28"/>
          <w:szCs w:val="28"/>
        </w:rPr>
        <w:t>As provisões relativas a programas, projetos, serviços e benefícios, diretamente vinculados ao campo da saúde, educação e demais políticas setoriais, não se incluem na modalidade de Benefícios Eventuais da Assistência Social.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19</w:t>
      </w:r>
      <w:r>
        <w:rPr>
          <w:rFonts w:cs="Tahoma" w:ascii="Times New Roman" w:hAnsi="Times New Roman"/>
          <w:sz w:val="28"/>
          <w:szCs w:val="28"/>
        </w:rPr>
        <w:t xml:space="preserve"> – As despesas decorrentes da concessão dos benefícios eventuais de que trata esta Lei, correrão por conta do Fundo Municipal de Assistência Social – FMAS –, devendo constar dotação orçamentária consignada no orçamento anual.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bCs/>
          <w:sz w:val="28"/>
          <w:szCs w:val="28"/>
        </w:rPr>
        <w:t>Art. 20</w:t>
      </w:r>
      <w:r>
        <w:rPr>
          <w:rFonts w:cs="Tahoma" w:ascii="Times New Roman" w:hAnsi="Times New Roman"/>
          <w:sz w:val="28"/>
          <w:szCs w:val="28"/>
        </w:rPr>
        <w:t xml:space="preserve"> – Esta Lei entra em vigor na data de sua publicação.</w:t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ahoma" w:ascii="Times New Roman" w:hAnsi="Times New Roman"/>
          <w:b/>
          <w:sz w:val="28"/>
          <w:szCs w:val="28"/>
        </w:rPr>
        <w:t>Art. 21</w:t>
      </w:r>
      <w:r>
        <w:rPr>
          <w:rFonts w:cs="Tahoma" w:ascii="Times New Roman" w:hAnsi="Times New Roman"/>
          <w:sz w:val="28"/>
          <w:szCs w:val="28"/>
        </w:rPr>
        <w:t xml:space="preserve"> – Ficam revogadas todas as disposições em contrário.</w:t>
      </w:r>
    </w:p>
    <w:p>
      <w:pPr>
        <w:pStyle w:val="Normal"/>
        <w:spacing w:lineRule="auto" w:line="360"/>
        <w:ind w:left="-284" w:right="283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Gabinete do Prefeito de Goiana, em </w:t>
      </w:r>
      <w:r>
        <w:rPr>
          <w:rFonts w:cs="Times New Roman" w:ascii="Times New Roman" w:hAnsi="Times New Roman"/>
          <w:sz w:val="28"/>
          <w:szCs w:val="28"/>
        </w:rPr>
        <w:t xml:space="preserve">30 </w:t>
      </w:r>
      <w:r>
        <w:rPr>
          <w:rFonts w:cs="Times New Roman" w:ascii="Times New Roman" w:hAnsi="Times New Roman"/>
          <w:sz w:val="28"/>
          <w:szCs w:val="28"/>
        </w:rPr>
        <w:t>de novembro de 2022.</w:t>
      </w:r>
    </w:p>
    <w:p>
      <w:pPr>
        <w:pStyle w:val="NoSpacing"/>
        <w:spacing w:lineRule="auto" w:line="360"/>
        <w:ind w:left="-284" w:right="283" w:firstLine="56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ind w:left="-284" w:right="283" w:firstLine="568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Eduardo Honório Carneiro</w:t>
      </w:r>
    </w:p>
    <w:p>
      <w:pPr>
        <w:pStyle w:val="NoSpacing"/>
        <w:spacing w:lineRule="auto" w:line="360"/>
        <w:ind w:left="-284" w:right="283" w:firstLine="568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Prefeito </w:t>
      </w:r>
    </w:p>
    <w:p>
      <w:pPr>
        <w:pStyle w:val="NoSpacing"/>
        <w:spacing w:lineRule="auto" w:line="360"/>
        <w:ind w:left="-284" w:right="283" w:firstLine="56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Spacing"/>
        <w:spacing w:lineRule="auto" w:line="360"/>
        <w:ind w:left="-284" w:right="283" w:firstLine="56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/>
        <w:ind w:left="-284" w:right="283" w:firstLine="568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MENSAGEM AO PROJETO DE LEI Nº 046/2022</w:t>
      </w:r>
    </w:p>
    <w:p>
      <w:pPr>
        <w:pStyle w:val="NoSpacing"/>
        <w:spacing w:lineRule="auto" w:line="360"/>
        <w:ind w:left="-284" w:right="283" w:firstLine="56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 w:before="0" w:after="200"/>
        <w:ind w:left="-284" w:right="283" w:firstLine="568"/>
        <w:rPr/>
      </w:pPr>
      <w:r>
        <w:rPr>
          <w:rFonts w:cs="Times New Roman" w:ascii="Times New Roman" w:hAnsi="Times New Roman"/>
          <w:bCs/>
          <w:sz w:val="28"/>
          <w:szCs w:val="28"/>
        </w:rPr>
        <w:t>Exmo. Sr. Presidente,</w:t>
      </w:r>
    </w:p>
    <w:p>
      <w:pPr>
        <w:pStyle w:val="NoSpacing"/>
        <w:spacing w:lineRule="auto" w:line="360" w:before="0" w:after="200"/>
        <w:ind w:left="-284" w:right="283" w:firstLine="568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Spacing"/>
        <w:spacing w:lineRule="auto" w:line="360" w:before="0" w:after="200"/>
        <w:ind w:left="-284" w:right="283" w:firstLine="568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ab/>
        <w:t>É com satisfação que saudamos Vossas Excelências e encaminhamos, para deliberação desse Poder Legislativo, Projeto de Lei nº 046/2022, que Regulamenta a Concessão dos Benefícios Eventuais, no âmbito da Política Municipal de Assistência Social, e dá outras providências.</w:t>
      </w:r>
    </w:p>
    <w:p>
      <w:pPr>
        <w:pStyle w:val="NoSpacing"/>
        <w:spacing w:lineRule="auto" w:line="360" w:before="0" w:after="200"/>
        <w:ind w:left="-284" w:right="283" w:firstLine="568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>A Concessão dos Benefícios Eventuais é um direito garantido na Lei Orgânica de Assistência Social, observando as normas da Resolução n° 212, de 19 de outubro de 2006, do Conselho Nacional de Assistência Social, que regulamenta tais benefícios.</w:t>
      </w:r>
    </w:p>
    <w:p>
      <w:pPr>
        <w:pStyle w:val="NoSpacing"/>
        <w:spacing w:lineRule="auto" w:line="360" w:before="0" w:after="200"/>
        <w:ind w:left="-284" w:right="283" w:firstLine="568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>O Decreto n° 6.307/2007, que dispõe sobre os Benefícios Eventuais e define, em seu art. 9°, que as provisões relativas a programas, projetos, serviços e benefícios, diretamente vinculados à saúde, educação e demais políticas setoriais, não se incluem na modalidade de Benefícios Eventuais da Assistência Social.</w:t>
      </w:r>
    </w:p>
    <w:p>
      <w:pPr>
        <w:pStyle w:val="NoSpacing"/>
        <w:spacing w:lineRule="auto" w:line="360" w:before="0" w:after="200"/>
        <w:ind w:left="-284" w:right="283" w:firstLine="568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>Certos da compreensão e atenção de Vossa Excelência e de todos quanto compõem essa Câmara Municipal, ficamos no aguardo da deliberação do presente Projeto de Lei, pois, com a aprovação e sanção deste, a nova lei que regulamentará os benefícios eventuais dará maior clareza aos beneficiários e aos munícipes em geral.</w:t>
      </w:r>
    </w:p>
    <w:p>
      <w:pPr>
        <w:pStyle w:val="NoSpacing"/>
        <w:spacing w:lineRule="auto" w:line="360" w:before="0" w:after="200"/>
        <w:ind w:left="-284" w:right="283" w:firstLine="568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>Assim sendo, estando presentes as condições legais, se espera a aprovação do projeto de lei, ora encaminhado.</w:t>
      </w:r>
    </w:p>
    <w:p>
      <w:pPr>
        <w:pStyle w:val="NoSpacing"/>
        <w:spacing w:lineRule="auto" w:line="360" w:before="0" w:after="200"/>
        <w:ind w:left="-284" w:right="283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/>
        <w:ind w:left="-284" w:right="283" w:firstLine="56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Gabinete do Prefeito de Goiana, </w:t>
      </w:r>
      <w:r>
        <w:rPr>
          <w:rFonts w:cs="Times New Roman" w:ascii="Times New Roman" w:hAnsi="Times New Roman"/>
          <w:sz w:val="28"/>
          <w:szCs w:val="28"/>
        </w:rPr>
        <w:t xml:space="preserve">30 </w:t>
      </w:r>
      <w:r>
        <w:rPr>
          <w:rFonts w:cs="Times New Roman" w:ascii="Times New Roman" w:hAnsi="Times New Roman"/>
          <w:sz w:val="28"/>
          <w:szCs w:val="28"/>
        </w:rPr>
        <w:t>de novembro de 2022.</w:t>
      </w:r>
    </w:p>
    <w:p>
      <w:pPr>
        <w:pStyle w:val="NoSpacing"/>
        <w:spacing w:lineRule="auto" w:line="360"/>
        <w:ind w:left="-284" w:right="283" w:firstLine="56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ind w:left="-284" w:right="283" w:firstLine="568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Eduardo Honório Carneiro</w:t>
      </w:r>
    </w:p>
    <w:p>
      <w:pPr>
        <w:pStyle w:val="NoSpacing"/>
        <w:spacing w:lineRule="auto" w:line="360"/>
        <w:ind w:left="-284" w:right="283" w:firstLine="568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Prefeito 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2748" w:footer="708" w:bottom="141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 MT">
    <w:charset w:val="00"/>
    <w:family w:val="roman"/>
    <w:pitch w:val="variable"/>
  </w:font>
  <w:font w:name="Garamond">
    <w:charset w:val="00"/>
    <w:family w:val="roman"/>
    <w:pitch w:val="variable"/>
  </w:font>
  <w:font w:name="Verdana">
    <w:charset w:val="00"/>
    <w:family w:val="roman"/>
    <w:pitch w:val="variable"/>
  </w:font>
  <w:font w:name="Constant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rFonts w:eastAsia="Constantia" w:cs="Constantia" w:ascii="Constantia" w:hAnsi="Constantia"/>
        <w:b/>
        <w:color w:val="244061"/>
        <w:sz w:val="20"/>
        <w:szCs w:val="20"/>
      </w:rPr>
      <w:t>Avenida Marechal Deodoro da Fonseca, s/n, Centro, Goiana – PE, CEP: 55900-000</w:t>
    </w:r>
  </w:p>
  <w:p>
    <w:pPr>
      <w:pStyle w:val="Normal"/>
      <w:widowControl w:val="false"/>
      <w:spacing w:lineRule="auto" w:line="240" w:before="0" w:after="0"/>
      <w:jc w:val="center"/>
      <w:rPr>
        <w:sz w:val="20"/>
        <w:szCs w:val="20"/>
      </w:rPr>
    </w:pPr>
    <w:r>
      <w:rPr>
        <w:rFonts w:eastAsia="Constantia" w:cs="Constantia" w:ascii="Constantia" w:hAnsi="Constantia"/>
        <w:b/>
        <w:color w:val="244061"/>
        <w:sz w:val="20"/>
        <w:szCs w:val="20"/>
      </w:rPr>
      <w:t xml:space="preserve">E-mail: </w:t>
    </w:r>
    <w:r>
      <w:rPr>
        <w:rFonts w:eastAsia="Times New Roman" w:cs="Times New Roman" w:ascii="Times New Roman" w:hAnsi="Times New Roman"/>
        <w:b/>
        <w:color w:val="244061"/>
        <w:sz w:val="20"/>
        <w:szCs w:val="20"/>
      </w:rPr>
      <w:t xml:space="preserve"> gabinete@goiana.pe.gov.br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before="0" w:after="200"/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pacing w:lineRule="auto" w:line="240" w:before="0" w:after="0"/>
      <w:ind w:left="-142" w:hanging="0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eastAsia="Times New Roman" w:cs="Times New Roman" w:ascii="Times New Roman" w:hAnsi="Times New Roman"/>
        <w:sz w:val="24"/>
        <w:szCs w:val="24"/>
      </w:rPr>
      <w:t xml:space="preserve">   </w:t>
    </w:r>
  </w:p>
  <w:tbl>
    <w:tblPr>
      <w:tblW w:w="9669" w:type="dxa"/>
      <w:jc w:val="left"/>
      <w:tblInd w:w="-778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2544"/>
      <w:gridCol w:w="7124"/>
    </w:tblGrid>
    <w:tr>
      <w:trPr>
        <w:trHeight w:val="1142" w:hRule="atLeast"/>
      </w:trPr>
      <w:tc>
        <w:tcPr>
          <w:tcW w:w="2544" w:type="dxa"/>
          <w:tcBorders/>
        </w:tcPr>
        <w:p>
          <w:pPr>
            <w:pStyle w:val="Cabealho"/>
            <w:widowControl w:val="false"/>
            <w:jc w:val="center"/>
            <w:rPr>
              <w:rFonts w:ascii="Verdana" w:hAnsi="Verdana"/>
              <w:b/>
              <w:b/>
              <w:sz w:val="24"/>
              <w:szCs w:val="24"/>
            </w:rPr>
          </w:pPr>
          <w:r>
            <w:rPr>
              <w:rFonts w:ascii="Verdana" w:hAnsi="Verdana"/>
              <w:b/>
              <w:sz w:val="24"/>
              <w:szCs w:val="24"/>
            </w:rPr>
            <w:drawing>
              <wp:anchor behindDoc="0" distT="0" distB="0" distL="0" distR="114300" simplePos="0" locked="0" layoutInCell="1" allowOverlap="1" relativeHeight="12">
                <wp:simplePos x="0" y="0"/>
                <wp:positionH relativeFrom="column">
                  <wp:posOffset>0</wp:posOffset>
                </wp:positionH>
                <wp:positionV relativeFrom="paragraph">
                  <wp:posOffset>-56515</wp:posOffset>
                </wp:positionV>
                <wp:extent cx="1510030" cy="852170"/>
                <wp:effectExtent l="0" t="0" r="0" b="0"/>
                <wp:wrapTight wrapText="bothSides">
                  <wp:wrapPolygon edited="0">
                    <wp:start x="7409" y="0"/>
                    <wp:lineTo x="1991" y="2466"/>
                    <wp:lineTo x="1991" y="6203"/>
                    <wp:lineTo x="7409" y="8331"/>
                    <wp:lineTo x="-116" y="8331"/>
                    <wp:lineTo x="-116" y="19531"/>
                    <wp:lineTo x="4098" y="20599"/>
                    <wp:lineTo x="12225" y="20599"/>
                    <wp:lineTo x="21255" y="20599"/>
                    <wp:lineTo x="21255" y="13137"/>
                    <wp:lineTo x="14331" y="8331"/>
                    <wp:lineTo x="19446" y="6732"/>
                    <wp:lineTo x="19446" y="1937"/>
                    <wp:lineTo x="14331" y="0"/>
                    <wp:lineTo x="7409" y="0"/>
                  </wp:wrapPolygon>
                </wp:wrapTight>
                <wp:docPr id="1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0030" cy="8521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24" w:type="dxa"/>
          <w:tcBorders/>
        </w:tcPr>
        <w:p>
          <w:pPr>
            <w:pStyle w:val="Cabealho"/>
            <w:widowControl w:val="false"/>
            <w:jc w:val="center"/>
            <w:rPr>
              <w:rFonts w:ascii="Times New Roman" w:hAnsi="Times New Roman"/>
              <w:b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  <w:szCs w:val="28"/>
            </w:rPr>
          </w:r>
        </w:p>
        <w:p>
          <w:pPr>
            <w:pStyle w:val="Cabealho"/>
            <w:widowControl w:val="false"/>
            <w:jc w:val="center"/>
            <w:rPr>
              <w:rFonts w:ascii="Times New Roman" w:hAnsi="Times New Roman"/>
              <w:b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  <w:szCs w:val="28"/>
            </w:rPr>
            <w:t>PREFEITURA MUNICIPAL DE GOIANA</w:t>
          </w:r>
        </w:p>
        <w:p>
          <w:pPr>
            <w:pStyle w:val="Cabealho"/>
            <w:widowControl w:val="false"/>
            <w:jc w:val="center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ESTADO DE PERNAMBUCO</w:t>
          </w:r>
        </w:p>
        <w:p>
          <w:pPr>
            <w:pStyle w:val="Cabealho"/>
            <w:widowControl w:val="false"/>
            <w:jc w:val="center"/>
            <w:rPr>
              <w:rFonts w:ascii="Times New Roman" w:hAnsi="Times New Roman"/>
              <w:b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  <w:szCs w:val="28"/>
            </w:rPr>
            <w:t>GABINETE DO PREFEITO</w:t>
          </w:r>
        </w:p>
      </w:tc>
    </w:tr>
  </w:tbl>
  <w:p>
    <w:pPr>
      <w:pStyle w:val="Normal"/>
      <w:widowControl w:val="false"/>
      <w:spacing w:lineRule="auto" w:line="240" w:before="0" w:after="0"/>
      <w:ind w:left="-709" w:hanging="0"/>
      <w:jc w:val="center"/>
      <w:rPr>
        <w:rFonts w:ascii="Constantia" w:hAnsi="Constantia" w:eastAsia="Constantia" w:cs="Constantia"/>
        <w:color w:val="244061"/>
        <w:sz w:val="26"/>
        <w:szCs w:val="26"/>
      </w:rPr>
    </w:pPr>
    <w:r>
      <w:rPr>
        <w:rFonts w:eastAsia="Constantia" w:cs="Constantia" w:ascii="Constantia" w:hAnsi="Constantia"/>
        <w:color w:val="244061"/>
        <w:sz w:val="26"/>
        <w:szCs w:val="26"/>
      </w:rPr>
    </w:r>
  </w:p>
  <w:p>
    <w:pPr>
      <w:pStyle w:val="Normal"/>
      <w:widowControl w:val="false"/>
      <w:spacing w:lineRule="auto" w:line="240" w:before="0" w:after="0"/>
      <w:ind w:left="-709" w:hanging="0"/>
      <w:jc w:val="center"/>
      <w:rPr>
        <w:rFonts w:ascii="Constantia" w:hAnsi="Constantia" w:eastAsia="Constantia" w:cs="Constantia"/>
        <w:color w:val="244061"/>
        <w:sz w:val="26"/>
        <w:szCs w:val="26"/>
      </w:rPr>
    </w:pPr>
    <w:r>
      <w:rPr>
        <w:rFonts w:eastAsia="Constantia" w:cs="Constantia" w:ascii="Constantia" w:hAnsi="Constantia"/>
        <w:color w:val="244061"/>
        <w:sz w:val="26"/>
        <w:szCs w:val="26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/>
    <w:lsdException w:name="heading 1" w:uiPriority="0" w:semiHidden="0" w:unhideWhenUsed="0"/>
    <w:lsdException w:name="heading 2" w:uiPriority="0" w:semiHidden="0" w:unhideWhenUsed="0"/>
    <w:lsdException w:name="heading 3" w:uiPriority="0" w:semiHidden="0" w:unhideWhenUsed="0"/>
    <w:lsdException w:name="heading 4" w:uiPriority="0" w:semiHidden="0" w:unhideWhenUsed="0"/>
    <w:lsdException w:name="heading 5" w:uiPriority="0" w:semiHidden="0" w:unhideWhenUsed="0"/>
    <w:lsdException w:name="heading 6" w:uiPriority="0" w:semiHidden="0" w:unhideWhenUsed="0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/>
    <w:lsdException w:name="Body Text 2" w:semiHidden="0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1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f3f8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Ttulo1" w:customStyle="1">
    <w:name w:val="Heading 1"/>
    <w:basedOn w:val="Normal"/>
    <w:next w:val="Normal"/>
    <w:qFormat/>
    <w:rsid w:val="005f3f8a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 w:customStyle="1">
    <w:name w:val="Heading 2"/>
    <w:basedOn w:val="Normal"/>
    <w:next w:val="Normal"/>
    <w:qFormat/>
    <w:rsid w:val="005f3f8a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 w:customStyle="1">
    <w:name w:val="Heading 3"/>
    <w:basedOn w:val="Normal"/>
    <w:next w:val="Normal"/>
    <w:qFormat/>
    <w:rsid w:val="005f3f8a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 w:customStyle="1">
    <w:name w:val="Heading 4"/>
    <w:basedOn w:val="Normal"/>
    <w:next w:val="Normal"/>
    <w:qFormat/>
    <w:rsid w:val="005f3f8a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 w:customStyle="1">
    <w:name w:val="Heading 5"/>
    <w:basedOn w:val="Normal"/>
    <w:next w:val="Normal"/>
    <w:qFormat/>
    <w:rsid w:val="005f3f8a"/>
    <w:pPr>
      <w:keepNext w:val="true"/>
      <w:keepLines/>
      <w:spacing w:before="220" w:after="40"/>
      <w:outlineLvl w:val="4"/>
    </w:pPr>
    <w:rPr>
      <w:b/>
    </w:rPr>
  </w:style>
  <w:style w:type="paragraph" w:styleId="Ttulo6" w:customStyle="1">
    <w:name w:val="Heading 6"/>
    <w:basedOn w:val="Normal"/>
    <w:next w:val="Normal"/>
    <w:qFormat/>
    <w:rsid w:val="005f3f8a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uiPriority w:val="99"/>
    <w:qFormat/>
    <w:rsid w:val="005f3f8a"/>
    <w:rPr>
      <w:rFonts w:ascii="Cambria" w:hAnsi="Cambria" w:eastAsia="Cambria" w:cs="" w:asciiTheme="minorHAnsi" w:cstheme="minorBidi" w:eastAsiaTheme="minorHAnsi" w:hAnsiTheme="minorHAnsi"/>
      <w:lang w:eastAsia="en-US"/>
    </w:rPr>
  </w:style>
  <w:style w:type="character" w:styleId="Corpodetexto2Char" w:customStyle="1">
    <w:name w:val="Corpo de texto 2 Char"/>
    <w:basedOn w:val="DefaultParagraphFont"/>
    <w:link w:val="Corpodetexto2"/>
    <w:uiPriority w:val="99"/>
    <w:qFormat/>
    <w:rsid w:val="005f3f8a"/>
    <w:rPr>
      <w:rFonts w:ascii="Times New Roman" w:hAnsi="Times New Roman" w:eastAsia="Times New Roman" w:cs="Times New Roman"/>
      <w:sz w:val="20"/>
      <w:szCs w:val="20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5f3f8a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link w:val="Header"/>
    <w:uiPriority w:val="99"/>
    <w:qFormat/>
    <w:rsid w:val="005f3f8a"/>
    <w:rPr/>
  </w:style>
  <w:style w:type="character" w:styleId="RodapChar" w:customStyle="1">
    <w:name w:val="Rodapé Char"/>
    <w:basedOn w:val="DefaultParagraphFont"/>
    <w:link w:val="Footer"/>
    <w:uiPriority w:val="99"/>
    <w:qFormat/>
    <w:rsid w:val="005f3f8a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99"/>
    <w:unhideWhenUsed/>
    <w:rsid w:val="005f3f8a"/>
    <w:pPr>
      <w:spacing w:before="0" w:after="120"/>
    </w:pPr>
    <w:rPr>
      <w:rFonts w:ascii="Cambria" w:hAnsi="Cambria" w:eastAsia="Cambria" w:cs="" w:asciiTheme="minorHAnsi" w:cstheme="minorBidi" w:eastAsiaTheme="minorHAnsi" w:hAnsiTheme="minorHAnsi"/>
      <w:lang w:eastAsia="en-US"/>
    </w:rPr>
  </w:style>
  <w:style w:type="paragraph" w:styleId="Lista">
    <w:name w:val="List"/>
    <w:basedOn w:val="Corpodotexto"/>
    <w:rsid w:val="005f3f8a"/>
    <w:pPr/>
    <w:rPr>
      <w:rFonts w:cs="Arial"/>
    </w:rPr>
  </w:style>
  <w:style w:type="paragraph" w:styleId="Legenda" w:customStyle="1">
    <w:name w:val="Caption"/>
    <w:basedOn w:val="Normal"/>
    <w:qFormat/>
    <w:rsid w:val="0053366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5f3f8a"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uiPriority w:val="10"/>
    <w:qFormat/>
    <w:rsid w:val="005f3f8a"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">
    <w:name w:val="caption"/>
    <w:basedOn w:val="Normal"/>
    <w:qFormat/>
    <w:rsid w:val="005f3f8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5f3f8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odyText2">
    <w:name w:val="Body Text 2"/>
    <w:basedOn w:val="Normal"/>
    <w:link w:val="Corpodetexto2Char"/>
    <w:uiPriority w:val="99"/>
    <w:unhideWhenUsed/>
    <w:qFormat/>
    <w:rsid w:val="005f3f8a"/>
    <w:pPr>
      <w:spacing w:lineRule="auto" w:line="480" w:before="0" w:after="120"/>
    </w:pPr>
    <w:rPr>
      <w:rFonts w:ascii="Times New Roman" w:hAnsi="Times New Roman" w:eastAsia="Times New Roman" w:cs="Times New Roman"/>
      <w:sz w:val="20"/>
      <w:szCs w:val="20"/>
    </w:rPr>
  </w:style>
  <w:style w:type="paragraph" w:styleId="CabealhoeRodap" w:customStyle="1">
    <w:name w:val="Cabeçalho e Rodapé"/>
    <w:basedOn w:val="Normal"/>
    <w:qFormat/>
    <w:rsid w:val="005f3f8a"/>
    <w:pPr/>
    <w:rPr/>
  </w:style>
  <w:style w:type="paragraph" w:styleId="Cabealho" w:customStyle="1">
    <w:name w:val="Header"/>
    <w:basedOn w:val="Normal"/>
    <w:link w:val="CabealhoChar"/>
    <w:uiPriority w:val="99"/>
    <w:unhideWhenUsed/>
    <w:rsid w:val="005f3f8a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 w:customStyle="1">
    <w:name w:val="Footer"/>
    <w:basedOn w:val="Normal"/>
    <w:link w:val="RodapChar"/>
    <w:uiPriority w:val="99"/>
    <w:unhideWhenUsed/>
    <w:rsid w:val="005f3f8a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f3f8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qFormat/>
    <w:rsid w:val="005f3f8a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1"/>
    <w:qFormat/>
    <w:rsid w:val="00b87fee"/>
    <w:pPr>
      <w:widowControl w:val="false"/>
      <w:spacing w:lineRule="auto" w:line="240" w:before="124" w:after="0"/>
      <w:ind w:left="1433" w:hanging="268"/>
    </w:pPr>
    <w:rPr>
      <w:rFonts w:ascii="Arial MT" w:hAnsi="Arial MT" w:eastAsia="Arial MT" w:cs="Arial MT"/>
      <w:lang w:val="pt-PT" w:eastAsia="en-US"/>
    </w:rPr>
  </w:style>
  <w:style w:type="paragraph" w:styleId="NoSpacing">
    <w:name w:val="No Spacing"/>
    <w:uiPriority w:val="1"/>
    <w:qFormat/>
    <w:rsid w:val="00ed35d3"/>
    <w:pPr>
      <w:widowControl/>
      <w:suppressAutoHyphens w:val="true"/>
      <w:bidi w:val="0"/>
      <w:spacing w:before="0" w:after="0"/>
      <w:jc w:val="left"/>
    </w:pPr>
    <w:rPr>
      <w:rFonts w:ascii="Cambria" w:hAnsi="Cambria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5f3f8a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5f3f8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LibreOffice/7.2.7.2$Windows_X86_64 LibreOffice_project/8d71d29d553c0f7dcbfa38fbfda25ee34cce99a2</Application>
  <AppVersion>15.0000</AppVersion>
  <Pages>11</Pages>
  <Words>1557</Words>
  <Characters>8830</Characters>
  <CharactersWithSpaces>10380</CharactersWithSpaces>
  <Paragraphs>94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2022-11-30T13:02:00Z</dcterms:created>
  <dc:creator>PC01</dc:creator>
  <dc:description/>
  <dc:language>pt-BR</dc:language>
  <cp:lastModifiedBy/>
  <cp:lastPrinted>2022-11-11T12:12:00Z</cp:lastPrinted>
  <dcterms:modified xsi:type="dcterms:W3CDTF">2022-11-30T17:44:09Z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1046-11.2.0.9937</vt:lpwstr>
  </property>
</Properties>
</file>