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50152" w14:textId="77777777" w:rsidR="000F724F" w:rsidRPr="00246E54" w:rsidRDefault="000F724F" w:rsidP="000F724F">
      <w:pPr>
        <w:ind w:left="720"/>
        <w:jc w:val="both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>PARECER DA COMISSÃO DE CONSTITUIÇÃO, JUSTIÇA E DE CIDADANIA</w:t>
      </w:r>
    </w:p>
    <w:p w14:paraId="1DD06CC6" w14:textId="77777777" w:rsidR="000F724F" w:rsidRPr="00246E54" w:rsidRDefault="000F724F" w:rsidP="000F724F">
      <w:pPr>
        <w:jc w:val="both"/>
        <w:rPr>
          <w:rFonts w:ascii="Garamond" w:hAnsi="Garamond"/>
        </w:rPr>
      </w:pPr>
    </w:p>
    <w:p w14:paraId="5FE9B46E" w14:textId="1FC5436E" w:rsidR="000F724F" w:rsidRPr="00246E54" w:rsidRDefault="000F724F" w:rsidP="000F724F">
      <w:pPr>
        <w:ind w:left="4248"/>
        <w:jc w:val="both"/>
        <w:rPr>
          <w:rFonts w:ascii="Garamond" w:hAnsi="Garamond"/>
        </w:rPr>
      </w:pPr>
      <w:bookmarkStart w:id="0" w:name="_Hlk223560180"/>
      <w:r w:rsidRPr="00246E54">
        <w:rPr>
          <w:rFonts w:ascii="Garamond" w:hAnsi="Garamond"/>
          <w:b/>
          <w:bCs/>
        </w:rPr>
        <w:t>Matéria:</w:t>
      </w:r>
      <w:r w:rsidRPr="00246E54">
        <w:rPr>
          <w:rFonts w:ascii="Garamond" w:hAnsi="Garamond"/>
        </w:rPr>
        <w:t xml:space="preserve"> Análise de constitucionalidade, legalidade e juridicidade dos Projetos de Lei nº 03, 05, 07, 11, 12, 13, 15, 23, 33, 34, 35 e 36/2026.</w:t>
      </w:r>
    </w:p>
    <w:p w14:paraId="23BBCB43" w14:textId="77777777" w:rsidR="000F724F" w:rsidRPr="00246E54" w:rsidRDefault="000F724F" w:rsidP="000F724F">
      <w:pPr>
        <w:ind w:left="4248"/>
        <w:jc w:val="both"/>
        <w:rPr>
          <w:rFonts w:ascii="Garamond" w:hAnsi="Garamond"/>
        </w:rPr>
      </w:pPr>
    </w:p>
    <w:bookmarkEnd w:id="0"/>
    <w:p w14:paraId="76718102" w14:textId="77777777" w:rsidR="000F724F" w:rsidRPr="00246E54" w:rsidRDefault="000F724F" w:rsidP="000F724F">
      <w:pPr>
        <w:ind w:left="720"/>
        <w:jc w:val="both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>I – Relatório</w:t>
      </w:r>
    </w:p>
    <w:p w14:paraId="7B6F285A" w14:textId="77777777" w:rsidR="000F724F" w:rsidRPr="00F05D46" w:rsidRDefault="000F724F" w:rsidP="000F724F">
      <w:pPr>
        <w:ind w:left="720"/>
        <w:jc w:val="both"/>
        <w:rPr>
          <w:rFonts w:ascii="Garamond" w:hAnsi="Garamond"/>
        </w:rPr>
      </w:pPr>
      <w:r w:rsidRPr="00F05D46">
        <w:rPr>
          <w:rFonts w:ascii="Garamond" w:hAnsi="Garamond"/>
        </w:rPr>
        <w:t xml:space="preserve">Chegam a esta Comissão de Constituição e Justiça os Projetos de Lei acima enumerados, para análise quanto à </w:t>
      </w:r>
      <w:r w:rsidRPr="00F05D46">
        <w:rPr>
          <w:rFonts w:ascii="Garamond" w:hAnsi="Garamond"/>
          <w:b/>
          <w:bCs/>
        </w:rPr>
        <w:t>constitucionalidade, legalidade, juridicidade e técnica legislativa</w:t>
      </w:r>
      <w:r w:rsidRPr="00F05D46">
        <w:rPr>
          <w:rFonts w:ascii="Garamond" w:hAnsi="Garamond"/>
        </w:rPr>
        <w:t>, nos termos do art. 37 do Regimento Interno da Câmara Municipal de Guarabira, que estabelece competir à CCJ manifestar-se sobre todos os projetos sob o aspecto constitucional e jurídico.</w:t>
      </w:r>
    </w:p>
    <w:p w14:paraId="726C03FF" w14:textId="77777777" w:rsidR="000F724F" w:rsidRPr="00F05D46" w:rsidRDefault="000F724F" w:rsidP="000F724F">
      <w:pPr>
        <w:ind w:left="720"/>
        <w:jc w:val="both"/>
        <w:rPr>
          <w:rFonts w:ascii="Garamond" w:hAnsi="Garamond"/>
        </w:rPr>
      </w:pPr>
      <w:r w:rsidRPr="00F05D46">
        <w:rPr>
          <w:rFonts w:ascii="Garamond" w:hAnsi="Garamond"/>
        </w:rPr>
        <w:t>Compete à Comissão de Constituição e Justiça manifestar-se quanto ao aspecto constitucional, legal ou jurídico das proposições.</w:t>
      </w:r>
    </w:p>
    <w:p w14:paraId="34E23EDB" w14:textId="77777777" w:rsidR="000F724F" w:rsidRPr="00F05D46" w:rsidRDefault="000F724F" w:rsidP="000F724F">
      <w:pPr>
        <w:ind w:left="720"/>
        <w:jc w:val="both"/>
        <w:rPr>
          <w:rFonts w:ascii="Garamond" w:hAnsi="Garamond"/>
        </w:rPr>
      </w:pPr>
      <w:r w:rsidRPr="00F05D46">
        <w:rPr>
          <w:rFonts w:ascii="Garamond" w:hAnsi="Garamond"/>
        </w:rPr>
        <w:t>A iniciativa legislativa municipal é disciplinada pela Lei Orgânica, que admite proposição por vereadores, ressalvadas as matérias de iniciativa privativa do Prefeito.</w:t>
      </w:r>
    </w:p>
    <w:p w14:paraId="66921CB7" w14:textId="77777777" w:rsidR="000F724F" w:rsidRPr="00246E54" w:rsidRDefault="000F724F" w:rsidP="000F724F">
      <w:pPr>
        <w:ind w:left="720"/>
        <w:jc w:val="both"/>
        <w:rPr>
          <w:rFonts w:ascii="Garamond" w:hAnsi="Garamond"/>
        </w:rPr>
      </w:pPr>
    </w:p>
    <w:p w14:paraId="0E648B6C" w14:textId="77777777" w:rsidR="000F724F" w:rsidRPr="00246E54" w:rsidRDefault="000F724F" w:rsidP="000F724F">
      <w:pPr>
        <w:ind w:left="720"/>
        <w:jc w:val="both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>II – Análise de Constitucionalidade</w:t>
      </w:r>
    </w:p>
    <w:p w14:paraId="42457A23" w14:textId="77777777" w:rsidR="000F724F" w:rsidRPr="00246E54" w:rsidRDefault="000F724F" w:rsidP="000F724F">
      <w:pPr>
        <w:ind w:left="720"/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Após detida análise, a Comissão constatou que todas as proposições tratam de </w:t>
      </w:r>
      <w:r w:rsidRPr="00246E54">
        <w:rPr>
          <w:rFonts w:ascii="Garamond" w:hAnsi="Garamond"/>
          <w:b/>
          <w:bCs/>
        </w:rPr>
        <w:t>matérias de interesse local</w:t>
      </w:r>
      <w:r w:rsidRPr="00246E54">
        <w:rPr>
          <w:rFonts w:ascii="Garamond" w:hAnsi="Garamond"/>
        </w:rPr>
        <w:t xml:space="preserve">, não havendo qualquer afronta à </w:t>
      </w:r>
      <w:r w:rsidRPr="00246E54">
        <w:rPr>
          <w:rFonts w:ascii="Garamond" w:hAnsi="Garamond"/>
          <w:b/>
          <w:bCs/>
        </w:rPr>
        <w:t>Constituição Federal</w:t>
      </w:r>
      <w:r w:rsidRPr="00246E54">
        <w:rPr>
          <w:rFonts w:ascii="Garamond" w:hAnsi="Garamond"/>
        </w:rPr>
        <w:t xml:space="preserve">, à </w:t>
      </w:r>
      <w:r w:rsidRPr="00246E54">
        <w:rPr>
          <w:rFonts w:ascii="Garamond" w:hAnsi="Garamond"/>
          <w:b/>
          <w:bCs/>
        </w:rPr>
        <w:t>Lei Orgânica do Município de Guarabira</w:t>
      </w:r>
      <w:r w:rsidRPr="00246E54">
        <w:rPr>
          <w:rFonts w:ascii="Garamond" w:hAnsi="Garamond"/>
        </w:rPr>
        <w:t xml:space="preserve"> nem ao </w:t>
      </w:r>
      <w:r w:rsidRPr="00246E54">
        <w:rPr>
          <w:rFonts w:ascii="Garamond" w:hAnsi="Garamond"/>
          <w:b/>
          <w:bCs/>
        </w:rPr>
        <w:t>Regimento Interno</w:t>
      </w:r>
      <w:r w:rsidRPr="00246E54">
        <w:rPr>
          <w:rFonts w:ascii="Garamond" w:hAnsi="Garamond"/>
        </w:rPr>
        <w:t>.</w:t>
      </w:r>
    </w:p>
    <w:p w14:paraId="7E6B6AA0" w14:textId="77777777" w:rsidR="000F724F" w:rsidRPr="00246E54" w:rsidRDefault="000F724F" w:rsidP="000F724F">
      <w:pPr>
        <w:ind w:left="720"/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Os projetos respeitam a competência legislativa municipal prevista no </w:t>
      </w:r>
      <w:r w:rsidRPr="00246E54">
        <w:rPr>
          <w:rFonts w:ascii="Garamond" w:hAnsi="Garamond"/>
          <w:b/>
          <w:bCs/>
        </w:rPr>
        <w:t>art. 30, incisos I e II, da Constituição Federal</w:t>
      </w:r>
      <w:r w:rsidRPr="00246E54">
        <w:rPr>
          <w:rFonts w:ascii="Garamond" w:hAnsi="Garamond"/>
        </w:rPr>
        <w:t>, que assegura aos Municípios o poder de legislar sobre assuntos de interesse local e suplementar a legislação federal e estadual no que couber.</w:t>
      </w:r>
    </w:p>
    <w:p w14:paraId="79E67B20" w14:textId="77777777" w:rsidR="000F724F" w:rsidRPr="00246E54" w:rsidRDefault="000F724F" w:rsidP="000F724F">
      <w:pPr>
        <w:ind w:left="720"/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Ademais, nenhuma das proposições cria cargos, funções, despesas ou interfere na organização administrativa do Poder Executivo, respeitando o art. 44 da Lei Orgânica do Município, dentro dos limites da </w:t>
      </w:r>
      <w:r w:rsidRPr="00246E54">
        <w:rPr>
          <w:rFonts w:ascii="Garamond" w:hAnsi="Garamond"/>
          <w:b/>
          <w:bCs/>
        </w:rPr>
        <w:t>iniciativa legislativa dos vereadores</w:t>
      </w:r>
      <w:r w:rsidRPr="00246E54">
        <w:rPr>
          <w:rFonts w:ascii="Garamond" w:hAnsi="Garamond"/>
        </w:rPr>
        <w:t xml:space="preserve"> conforme o </w:t>
      </w:r>
      <w:r w:rsidRPr="00246E54">
        <w:rPr>
          <w:rFonts w:ascii="Garamond" w:hAnsi="Garamond"/>
          <w:b/>
          <w:bCs/>
        </w:rPr>
        <w:t>art. 127 do Regimento Interno</w:t>
      </w:r>
      <w:r w:rsidRPr="00246E54">
        <w:rPr>
          <w:rFonts w:ascii="Garamond" w:hAnsi="Garamond"/>
        </w:rPr>
        <w:t>.</w:t>
      </w:r>
    </w:p>
    <w:p w14:paraId="1A0E7656" w14:textId="77777777" w:rsidR="000F724F" w:rsidRDefault="000F724F" w:rsidP="000F724F">
      <w:pPr>
        <w:rPr>
          <w:rFonts w:ascii="Garamond" w:hAnsi="Garamond"/>
          <w:b/>
          <w:bCs/>
        </w:rPr>
      </w:pPr>
    </w:p>
    <w:p w14:paraId="37DE7086" w14:textId="77777777" w:rsidR="000F724F" w:rsidRDefault="000F724F" w:rsidP="000F724F">
      <w:pPr>
        <w:rPr>
          <w:rFonts w:ascii="Garamond" w:hAnsi="Garamond"/>
          <w:b/>
          <w:bCs/>
        </w:rPr>
      </w:pPr>
    </w:p>
    <w:p w14:paraId="6B8F8FC1" w14:textId="77777777" w:rsidR="000F724F" w:rsidRDefault="000F724F" w:rsidP="000F724F">
      <w:pPr>
        <w:rPr>
          <w:rFonts w:ascii="Garamond" w:hAnsi="Garamond"/>
          <w:b/>
          <w:bCs/>
        </w:rPr>
      </w:pPr>
    </w:p>
    <w:p w14:paraId="7D8ADF76" w14:textId="77777777" w:rsidR="000F724F" w:rsidRPr="00246E54" w:rsidRDefault="000F724F" w:rsidP="000F724F">
      <w:pPr>
        <w:rPr>
          <w:rFonts w:ascii="Garamond" w:hAnsi="Garamond"/>
          <w:b/>
          <w:bCs/>
        </w:rPr>
      </w:pPr>
    </w:p>
    <w:p w14:paraId="53ABB7EA" w14:textId="77777777" w:rsidR="000F724F" w:rsidRPr="00246E54" w:rsidRDefault="000F724F" w:rsidP="000F724F">
      <w:pPr>
        <w:ind w:left="720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lastRenderedPageBreak/>
        <w:t xml:space="preserve">III – Conclusão </w:t>
      </w:r>
    </w:p>
    <w:p w14:paraId="7DBB6432" w14:textId="77777777" w:rsidR="000F724F" w:rsidRPr="00246E54" w:rsidRDefault="000F724F" w:rsidP="000F724F">
      <w:pPr>
        <w:ind w:left="720"/>
        <w:jc w:val="both"/>
        <w:rPr>
          <w:rFonts w:ascii="Garamond" w:hAnsi="Garamond"/>
          <w:b/>
          <w:bCs/>
        </w:rPr>
      </w:pPr>
      <w:r w:rsidRPr="00246E54">
        <w:rPr>
          <w:rFonts w:ascii="Garamond" w:hAnsi="Garamond"/>
        </w:rPr>
        <w:t xml:space="preserve">Diante do exposto, a </w:t>
      </w:r>
      <w:r w:rsidRPr="00246E54">
        <w:rPr>
          <w:rFonts w:ascii="Garamond" w:hAnsi="Garamond"/>
          <w:b/>
          <w:bCs/>
        </w:rPr>
        <w:t>Comissão de Constituição e Justiça</w:t>
      </w:r>
      <w:r w:rsidRPr="00246E54">
        <w:rPr>
          <w:rFonts w:ascii="Garamond" w:hAnsi="Garamond"/>
        </w:rPr>
        <w:t xml:space="preserve"> opina pela </w:t>
      </w:r>
      <w:r w:rsidRPr="00246E54">
        <w:rPr>
          <w:rFonts w:ascii="Garamond" w:hAnsi="Garamond"/>
          <w:b/>
          <w:bCs/>
        </w:rPr>
        <w:t>CONSTITUCIONALIDADE, LEGALIDADE e REGIMENTALIDADE</w:t>
      </w:r>
      <w:r w:rsidRPr="00246E54">
        <w:rPr>
          <w:rFonts w:ascii="Garamond" w:hAnsi="Garamond"/>
        </w:rPr>
        <w:t xml:space="preserve"> dos referidos projetos acima mencionados, recomendando o</w:t>
      </w:r>
      <w:r w:rsidRPr="00246E54">
        <w:rPr>
          <w:rFonts w:ascii="Garamond" w:hAnsi="Garamond"/>
          <w:b/>
          <w:bCs/>
        </w:rPr>
        <w:t xml:space="preserve"> regular prosseguimento da tramitação</w:t>
      </w:r>
      <w:r w:rsidRPr="00246E54">
        <w:rPr>
          <w:rFonts w:ascii="Garamond" w:hAnsi="Garamond"/>
        </w:rPr>
        <w:t xml:space="preserve"> para apreciação e votação em plenário.</w:t>
      </w:r>
    </w:p>
    <w:p w14:paraId="18FFCA5A" w14:textId="77777777" w:rsidR="000F724F" w:rsidRPr="00246E54" w:rsidRDefault="000F724F" w:rsidP="000F724F">
      <w:pPr>
        <w:ind w:left="720"/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Sala das Sessões, </w:t>
      </w:r>
      <w:r>
        <w:rPr>
          <w:rFonts w:ascii="Garamond" w:hAnsi="Garamond"/>
        </w:rPr>
        <w:t xml:space="preserve">05 </w:t>
      </w:r>
      <w:r w:rsidRPr="00246E54">
        <w:rPr>
          <w:rFonts w:ascii="Garamond" w:hAnsi="Garamond"/>
        </w:rPr>
        <w:t xml:space="preserve">de </w:t>
      </w:r>
      <w:r>
        <w:rPr>
          <w:rFonts w:ascii="Garamond" w:hAnsi="Garamond"/>
        </w:rPr>
        <w:t>março</w:t>
      </w:r>
      <w:r w:rsidRPr="00246E54">
        <w:rPr>
          <w:rFonts w:ascii="Garamond" w:hAnsi="Garamond"/>
        </w:rPr>
        <w:t xml:space="preserve"> de 202</w:t>
      </w:r>
      <w:r>
        <w:rPr>
          <w:rFonts w:ascii="Garamond" w:hAnsi="Garamond"/>
        </w:rPr>
        <w:t>6</w:t>
      </w:r>
      <w:r w:rsidRPr="00246E54">
        <w:rPr>
          <w:rFonts w:ascii="Garamond" w:hAnsi="Garamond"/>
        </w:rPr>
        <w:t>.</w:t>
      </w:r>
    </w:p>
    <w:p w14:paraId="28029FA9" w14:textId="77777777" w:rsidR="000F724F" w:rsidRPr="00246E54" w:rsidRDefault="000F724F" w:rsidP="000F724F">
      <w:pPr>
        <w:pStyle w:val="SemEspaamento"/>
        <w:jc w:val="center"/>
        <w:rPr>
          <w:rFonts w:ascii="Garamond" w:hAnsi="Garamond"/>
        </w:rPr>
      </w:pPr>
    </w:p>
    <w:p w14:paraId="07B3DC62" w14:textId="77777777" w:rsidR="000F724F" w:rsidRPr="00246E54" w:rsidRDefault="000F724F" w:rsidP="000F724F">
      <w:pPr>
        <w:pStyle w:val="SemEspaamento"/>
        <w:jc w:val="center"/>
        <w:rPr>
          <w:rFonts w:ascii="Garamond" w:hAnsi="Garamond"/>
        </w:rPr>
      </w:pPr>
    </w:p>
    <w:p w14:paraId="1A1A41BE" w14:textId="77777777" w:rsidR="000F724F" w:rsidRPr="00246E54" w:rsidRDefault="000F724F" w:rsidP="000F724F">
      <w:pPr>
        <w:pStyle w:val="SemEspaamento"/>
        <w:jc w:val="center"/>
        <w:rPr>
          <w:rFonts w:ascii="Garamond" w:hAnsi="Garamond"/>
        </w:rPr>
      </w:pPr>
    </w:p>
    <w:p w14:paraId="7C58DAF4" w14:textId="77777777" w:rsidR="000F724F" w:rsidRPr="00246E54" w:rsidRDefault="000F724F" w:rsidP="000F724F">
      <w:pPr>
        <w:pStyle w:val="SemEspaamento"/>
        <w:jc w:val="center"/>
        <w:rPr>
          <w:rFonts w:ascii="Garamond" w:hAnsi="Garamond"/>
        </w:rPr>
      </w:pPr>
    </w:p>
    <w:p w14:paraId="77D4C709" w14:textId="77777777" w:rsidR="000F724F" w:rsidRPr="00246E54" w:rsidRDefault="000F724F" w:rsidP="000F724F">
      <w:pPr>
        <w:pStyle w:val="SemEspaamento"/>
        <w:jc w:val="center"/>
        <w:rPr>
          <w:rFonts w:ascii="Garamond" w:hAnsi="Garamond"/>
          <w:b/>
          <w:bCs/>
        </w:rPr>
      </w:pPr>
      <w:proofErr w:type="spellStart"/>
      <w:r w:rsidRPr="00246E54">
        <w:rPr>
          <w:rFonts w:ascii="Garamond" w:hAnsi="Garamond"/>
        </w:rPr>
        <w:t>Jailson</w:t>
      </w:r>
      <w:proofErr w:type="spellEnd"/>
      <w:r w:rsidRPr="00246E54">
        <w:rPr>
          <w:rFonts w:ascii="Garamond" w:hAnsi="Garamond"/>
        </w:rPr>
        <w:t xml:space="preserve"> Pereira Dos Santos </w:t>
      </w:r>
    </w:p>
    <w:p w14:paraId="38E4A2F9" w14:textId="77777777" w:rsidR="000F724F" w:rsidRPr="00246E54" w:rsidRDefault="000F724F" w:rsidP="000F724F">
      <w:pPr>
        <w:pStyle w:val="SemEspaamento"/>
        <w:jc w:val="center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Presidente </w:t>
      </w:r>
    </w:p>
    <w:p w14:paraId="364D0A4B" w14:textId="77777777" w:rsidR="000F724F" w:rsidRPr="00246E54" w:rsidRDefault="000F724F" w:rsidP="000F724F">
      <w:pPr>
        <w:pStyle w:val="SemEspaamento"/>
        <w:rPr>
          <w:rFonts w:ascii="Garamond" w:hAnsi="Garamond"/>
        </w:rPr>
      </w:pPr>
    </w:p>
    <w:p w14:paraId="44909EEF" w14:textId="77777777" w:rsidR="000F724F" w:rsidRPr="00246E54" w:rsidRDefault="000F724F" w:rsidP="000F724F">
      <w:pPr>
        <w:pStyle w:val="SemEspaamento"/>
        <w:rPr>
          <w:rFonts w:ascii="Garamond" w:hAnsi="Garamond"/>
        </w:rPr>
      </w:pPr>
    </w:p>
    <w:p w14:paraId="7B2E1FCC" w14:textId="77777777" w:rsidR="000F724F" w:rsidRPr="00246E54" w:rsidRDefault="000F724F" w:rsidP="000F724F">
      <w:pPr>
        <w:pStyle w:val="SemEspaamento"/>
        <w:rPr>
          <w:rFonts w:ascii="Garamond" w:hAnsi="Garamond"/>
        </w:rPr>
      </w:pPr>
      <w:r w:rsidRPr="00246E54">
        <w:rPr>
          <w:rFonts w:ascii="Garamond" w:hAnsi="Garamond"/>
        </w:rPr>
        <w:t xml:space="preserve">Ramon Silva Menezes                                                              </w:t>
      </w:r>
      <w:r>
        <w:rPr>
          <w:rFonts w:ascii="Garamond" w:hAnsi="Garamond"/>
        </w:rPr>
        <w:t xml:space="preserve">   </w:t>
      </w:r>
      <w:proofErr w:type="spellStart"/>
      <w:r w:rsidRPr="00246E54">
        <w:rPr>
          <w:rFonts w:ascii="Garamond" w:hAnsi="Garamond"/>
        </w:rPr>
        <w:t>Gilvando</w:t>
      </w:r>
      <w:proofErr w:type="spellEnd"/>
      <w:r w:rsidRPr="00246E54">
        <w:rPr>
          <w:rFonts w:ascii="Garamond" w:hAnsi="Garamond"/>
        </w:rPr>
        <w:t xml:space="preserve"> Marinho da Silva </w:t>
      </w:r>
    </w:p>
    <w:p w14:paraId="3386C14F" w14:textId="77777777" w:rsidR="000F724F" w:rsidRPr="00246E54" w:rsidRDefault="000F724F" w:rsidP="000F724F">
      <w:pPr>
        <w:pStyle w:val="SemEspaamento"/>
      </w:pPr>
      <w:r w:rsidRPr="00246E54">
        <w:rPr>
          <w:rFonts w:ascii="Garamond" w:hAnsi="Garamond"/>
          <w:b/>
          <w:bCs/>
        </w:rPr>
        <w:t xml:space="preserve">   Membro CCJ                                                                                     Membro CCJ</w:t>
      </w:r>
    </w:p>
    <w:p w14:paraId="53B2B243" w14:textId="77777777" w:rsidR="000F724F" w:rsidRDefault="000F724F" w:rsidP="000F724F"/>
    <w:p w14:paraId="096DA7E2" w14:textId="77777777" w:rsidR="000F724F" w:rsidRPr="00B2500A" w:rsidRDefault="000F724F" w:rsidP="000F724F">
      <w:pPr>
        <w:rPr>
          <w:sz w:val="26"/>
          <w:szCs w:val="26"/>
        </w:rPr>
      </w:pPr>
    </w:p>
    <w:p w14:paraId="4ECE4006" w14:textId="77777777" w:rsidR="000F724F" w:rsidRPr="00B2500A" w:rsidRDefault="000F724F" w:rsidP="000F724F">
      <w:pPr>
        <w:rPr>
          <w:sz w:val="26"/>
          <w:szCs w:val="26"/>
        </w:rPr>
      </w:pPr>
    </w:p>
    <w:p w14:paraId="1F1B9BFF" w14:textId="77777777" w:rsidR="00F019F8" w:rsidRDefault="00F019F8"/>
    <w:sectPr w:rsidR="00F019F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CF8A4" w14:textId="77777777" w:rsidR="0052508E" w:rsidRDefault="0052508E" w:rsidP="000F724F">
      <w:pPr>
        <w:spacing w:after="0" w:line="240" w:lineRule="auto"/>
      </w:pPr>
      <w:r>
        <w:separator/>
      </w:r>
    </w:p>
  </w:endnote>
  <w:endnote w:type="continuationSeparator" w:id="0">
    <w:p w14:paraId="6585BB94" w14:textId="77777777" w:rsidR="0052508E" w:rsidRDefault="0052508E" w:rsidP="000F7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FAD4E" w14:textId="77777777" w:rsidR="0052508E" w:rsidRDefault="0052508E" w:rsidP="000F724F">
      <w:pPr>
        <w:spacing w:after="0" w:line="240" w:lineRule="auto"/>
      </w:pPr>
      <w:r>
        <w:separator/>
      </w:r>
    </w:p>
  </w:footnote>
  <w:footnote w:type="continuationSeparator" w:id="0">
    <w:p w14:paraId="69B9C0F5" w14:textId="77777777" w:rsidR="0052508E" w:rsidRDefault="0052508E" w:rsidP="000F7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BB033" w14:textId="3137C77B" w:rsidR="000F724F" w:rsidRDefault="000F724F">
    <w:pPr>
      <w:pStyle w:val="Cabealho"/>
    </w:pPr>
    <w:r w:rsidRPr="004A367B"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43EC83DD" wp14:editId="2497BB61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559675" cy="10687050"/>
          <wp:effectExtent l="0" t="0" r="3175" b="0"/>
          <wp:wrapNone/>
          <wp:docPr id="178394652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87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24F"/>
    <w:rsid w:val="000F724F"/>
    <w:rsid w:val="00266BE8"/>
    <w:rsid w:val="0052508E"/>
    <w:rsid w:val="006F2354"/>
    <w:rsid w:val="00AA75DF"/>
    <w:rsid w:val="00ED3FE2"/>
    <w:rsid w:val="00F019F8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76442"/>
  <w15:chartTrackingRefBased/>
  <w15:docId w15:val="{C23554ED-FF7F-4F8F-BD9F-186633E0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24F"/>
  </w:style>
  <w:style w:type="paragraph" w:styleId="Ttulo1">
    <w:name w:val="heading 1"/>
    <w:basedOn w:val="Normal"/>
    <w:next w:val="Normal"/>
    <w:link w:val="Ttulo1Char"/>
    <w:uiPriority w:val="9"/>
    <w:qFormat/>
    <w:rsid w:val="000F72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F72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72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F72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F72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F72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F72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F72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F72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7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F7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7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F72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F724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F72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F724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F72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F72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F72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F7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F72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F7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F72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F724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F724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F724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7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724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724F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0F724F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F72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724F"/>
  </w:style>
  <w:style w:type="paragraph" w:styleId="Rodap">
    <w:name w:val="footer"/>
    <w:basedOn w:val="Normal"/>
    <w:link w:val="RodapChar"/>
    <w:uiPriority w:val="99"/>
    <w:unhideWhenUsed/>
    <w:rsid w:val="000F72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7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Weslley Saraiva</dc:creator>
  <cp:keywords/>
  <dc:description/>
  <cp:lastModifiedBy>Acer</cp:lastModifiedBy>
  <cp:revision>3</cp:revision>
  <dcterms:created xsi:type="dcterms:W3CDTF">2026-03-05T02:46:00Z</dcterms:created>
  <dcterms:modified xsi:type="dcterms:W3CDTF">2026-03-05T17:42:00Z</dcterms:modified>
</cp:coreProperties>
</file>