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124/2022 </w:t>
      </w:r>
      <w:r>
        <w:rPr>
          <w:rFonts w:ascii="Arial" w:hAnsi="Arial" w:cs="Arial"/>
          <w:b/>
          <w:sz w:val="22"/>
          <w:szCs w:val="22"/>
        </w:rPr>
        <w:t xml:space="preserve">- LOA,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Saúde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0239</w:t>
      </w:r>
      <w:r>
        <w:rPr>
          <w:rFonts w:ascii="Arial" w:hAnsi="Arial" w:cs="Arial"/>
          <w:sz w:val="22"/>
          <w:szCs w:val="22"/>
        </w:rPr>
        <w:t xml:space="preserve"> – Apoio aos serviços de saúde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- 2350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Manter e executar os serviços de saúde, planejar e manter os serviços de saúde da </w:t>
      </w:r>
      <w:r>
        <w:rPr>
          <w:rFonts w:ascii="Arial" w:hAnsi="Arial" w:cs="Arial"/>
          <w:sz w:val="22"/>
          <w:szCs w:val="22"/>
        </w:rPr>
        <w:t xml:space="preserve">Secretaria Municipal de Saúde</w:t>
      </w:r>
      <w:r/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Serviços Pessoa Jurídica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Secretaria Municipal de Saúde</w:t>
      </w:r>
      <w:r/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0239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Apoio aos serviços de saúde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P – </w:t>
      </w:r>
      <w:r>
        <w:rPr>
          <w:rFonts w:ascii="Arial" w:hAnsi="Arial" w:cs="Arial"/>
          <w:sz w:val="22"/>
          <w:szCs w:val="22"/>
        </w:rPr>
        <w:t xml:space="preserve">1432 – Estruturação da rede de serviços de saúde: aquisição de equipamentos, material permanente e veículos.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300.000,00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R$ 365.000,00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432 – Estruturação da rede de serviços de saúde: aquisição de equip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amentos, material permanente e veículos.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Aquisição de elevador a ser instalado no prédio do pronto atendimento e Secretaria de Saúde.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365.000,00</w:t>
            </w:r>
            <w:r/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12 de dezembro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2022-12-12T22:09:50Z</dcterms:modified>
</cp:coreProperties>
</file>