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bdr w:val="none" w:sz="0" w:space="0" w:color="auto" w:frame="1"/>
        </w:rPr>
        <w:t>LEI COMPLEMENTAR N.  057/2019.</w:t>
      </w: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ind w:left="2410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Altera dispositivos da Lei n. 1.807, de 24 de abril de 2006, Revoga Lei Complementar 007/2011  e dá outras providências</w:t>
      </w:r>
      <w:r>
        <w:rPr>
          <w:rFonts w:ascii="Arial" w:hAnsi="Arial" w:cs="Arial"/>
          <w:color w:val="000000"/>
          <w:bdr w:val="none" w:sz="0" w:space="0" w:color="auto" w:frame="1"/>
        </w:rPr>
        <w:t>.</w:t>
      </w: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ind w:left="2410"/>
        <w:jc w:val="both"/>
        <w:rPr>
          <w:color w:val="000000"/>
        </w:rPr>
      </w:pP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Art. 1º</w:t>
      </w:r>
      <w:r>
        <w:rPr>
          <w:rFonts w:ascii="Arial" w:hAnsi="Arial" w:cs="Arial"/>
          <w:bdr w:val="none" w:sz="0" w:space="0" w:color="auto" w:frame="1"/>
        </w:rPr>
        <w:t> Fica  alterado o  vencimento dos cargo</w:t>
      </w:r>
      <w:r>
        <w:rPr>
          <w:rFonts w:ascii="Arial" w:hAnsi="Arial" w:cs="Arial"/>
          <w:color w:val="000000"/>
          <w:bdr w:val="none" w:sz="0" w:space="0" w:color="auto" w:frame="1"/>
        </w:rPr>
        <w:t> Professor de Ensino Médio  em Magistério</w:t>
      </w:r>
      <w:r>
        <w:rPr>
          <w:rFonts w:ascii="Arial" w:hAnsi="Arial" w:cs="Arial"/>
          <w:bdr w:val="none" w:sz="0" w:space="0" w:color="auto" w:frame="1"/>
        </w:rPr>
        <w:t> Pertencente  no Anexo III – do Quadro em Extinção  da Lei n. 1.807, de 24 de abril de 2006, que passa a ser o disposto no Anexo único desta Lei Complementar.</w:t>
      </w: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 w:line="253" w:lineRule="atLeast"/>
        <w:jc w:val="both"/>
        <w:rPr>
          <w:rFonts w:ascii="Arial" w:hAnsi="Arial" w:cs="Arial"/>
          <w:color w:val="000000"/>
          <w:bdr w:val="none" w:sz="0" w:space="0" w:color="auto" w:frame="1"/>
          <w:lang w:val="pt-PT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  <w:lang w:val="pt-PT"/>
        </w:rPr>
        <w:t>Paragrafo unico.   </w:t>
      </w:r>
      <w:r>
        <w:rPr>
          <w:rFonts w:ascii="Arial" w:hAnsi="Arial" w:cs="Arial"/>
          <w:color w:val="000000"/>
          <w:bdr w:val="none" w:sz="0" w:space="0" w:color="auto" w:frame="1"/>
          <w:lang w:val="pt-PT"/>
        </w:rPr>
        <w:t> A alteração de que trata o  </w:t>
      </w:r>
      <w:r>
        <w:rPr>
          <w:rFonts w:ascii="Arial" w:hAnsi="Arial" w:cs="Arial"/>
          <w:i/>
          <w:iCs/>
          <w:color w:val="000000"/>
          <w:bdr w:val="none" w:sz="0" w:space="0" w:color="auto" w:frame="1"/>
          <w:lang w:val="pt-PT"/>
        </w:rPr>
        <w:t>caput</w:t>
      </w:r>
      <w:r>
        <w:rPr>
          <w:rFonts w:ascii="Arial" w:hAnsi="Arial" w:cs="Arial"/>
          <w:color w:val="000000"/>
          <w:bdr w:val="none" w:sz="0" w:space="0" w:color="auto" w:frame="1"/>
          <w:lang w:val="pt-PT"/>
        </w:rPr>
        <w:t> deste Artigo terá seus efeitos financeiros retroativos a partir de 01 de janeiro de 2019.</w:t>
      </w: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 w:line="253" w:lineRule="atLea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 w:line="253" w:lineRule="atLeast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  <w:lang w:val="pt-PT"/>
        </w:rPr>
        <w:t>Art. 2º </w:t>
      </w:r>
      <w:r>
        <w:rPr>
          <w:rFonts w:ascii="Arial" w:hAnsi="Arial" w:cs="Arial"/>
          <w:color w:val="000000"/>
          <w:bdr w:val="none" w:sz="0" w:space="0" w:color="auto" w:frame="1"/>
        </w:rPr>
        <w:t> O vencimento base do cargo de Professor de Ensino Médio  em Magistério será atualizado, a título de revisão geral anual , sempre  no mês de janeiro com  o mesmo percentual de acréscimo fixado pelo Ministério da Educação para atualização do piso salarial profissional nacional, nos termos da Lei n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o</w:t>
      </w:r>
      <w:r>
        <w:rPr>
          <w:rFonts w:ascii="Arial" w:hAnsi="Arial" w:cs="Arial"/>
          <w:color w:val="000000"/>
          <w:bdr w:val="none" w:sz="0" w:space="0" w:color="auto" w:frame="1"/>
        </w:rPr>
        <w:t> 11.494, de 20 de junho de 2007.</w:t>
      </w: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 w:line="253" w:lineRule="atLea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Paragrafo único</w:t>
      </w:r>
      <w:r>
        <w:rPr>
          <w:rFonts w:ascii="Arial" w:hAnsi="Arial" w:cs="Arial"/>
          <w:color w:val="000000"/>
          <w:bdr w:val="none" w:sz="0" w:space="0" w:color="auto" w:frame="1"/>
        </w:rPr>
        <w:t> . A concessão da revisão de que trata este artigo afasta, para o cargo  a concessão da revisão geral anual concedida aos demais servidores públicos municipais.</w:t>
      </w: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 w:line="253" w:lineRule="atLeast"/>
        <w:jc w:val="both"/>
        <w:rPr>
          <w:rFonts w:ascii="Arial" w:hAnsi="Arial" w:cs="Arial"/>
          <w:color w:val="000000"/>
          <w:bdr w:val="none" w:sz="0" w:space="0" w:color="auto" w:frame="1"/>
          <w:lang w:val="pt-PT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  <w:lang w:val="pt-PT"/>
        </w:rPr>
        <w:t>Art. 3º </w:t>
      </w:r>
      <w:r>
        <w:rPr>
          <w:rFonts w:ascii="Arial" w:hAnsi="Arial" w:cs="Arial"/>
          <w:color w:val="000000"/>
          <w:bdr w:val="none" w:sz="0" w:space="0" w:color="auto" w:frame="1"/>
          <w:lang w:val="pt-PT"/>
        </w:rPr>
        <w:t> As despesas com a execução da presente Lei Complementar correrão à conta das dotações próprias consignadas no Orçamento, e não afetarão as metas de resultados fiscais previstas, bem como atendem as exigências contidas na Lei Complementar Federal nº 101/2000 de 04/05/2000 (Lei de Responsabilidade Fiscal) e Lei Federal n. 11.738/2008.</w:t>
      </w: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 w:line="253" w:lineRule="atLea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 w:line="253" w:lineRule="atLeast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  <w:lang w:val="pt-PT"/>
        </w:rPr>
        <w:t>Art. 4º</w:t>
      </w:r>
      <w:r>
        <w:rPr>
          <w:rFonts w:ascii="Arial" w:hAnsi="Arial" w:cs="Arial"/>
          <w:color w:val="000000"/>
          <w:bdr w:val="none" w:sz="0" w:space="0" w:color="auto" w:frame="1"/>
          <w:lang w:val="pt-PT"/>
        </w:rPr>
        <w:t> Com a edição desta Lei Complementar, fica revogada em toda a sua integra a </w:t>
      </w:r>
      <w:r>
        <w:rPr>
          <w:rFonts w:ascii="Arial" w:hAnsi="Arial" w:cs="Arial"/>
          <w:color w:val="000000"/>
          <w:bdr w:val="none" w:sz="0" w:space="0" w:color="auto" w:frame="1"/>
        </w:rPr>
        <w:t>Lei Complementar 007/2011 de 28/06/2011</w:t>
      </w: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 w:line="253" w:lineRule="atLea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Art. 5º</w:t>
      </w:r>
      <w:r>
        <w:rPr>
          <w:rFonts w:ascii="Arial" w:hAnsi="Arial" w:cs="Arial"/>
          <w:color w:val="000000"/>
          <w:bdr w:val="none" w:sz="0" w:space="0" w:color="auto" w:frame="1"/>
        </w:rPr>
        <w:t> Esta Lei Complementar entra em vigor na data da sua publicação.</w:t>
      </w: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Art. 6º</w:t>
      </w:r>
      <w:r>
        <w:rPr>
          <w:rFonts w:ascii="Arial" w:hAnsi="Arial" w:cs="Arial"/>
          <w:color w:val="000000"/>
          <w:bdr w:val="none" w:sz="0" w:space="0" w:color="auto" w:frame="1"/>
        </w:rPr>
        <w:t> Ficam revogadas as disposições em contrário.</w:t>
      </w: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GABINETE DO PREFEITO MUNICIPAL DE GUARUJÁ DO SUL, ESTADO DE SANTA CATARINA, em</w:t>
      </w: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25 de abril  de 2019.</w:t>
      </w: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67º ano da  Fundação e 57º ano da Instalação.</w:t>
      </w: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                                               CLAUDIO JUNIOR WESCHENFELDER</w:t>
      </w:r>
    </w:p>
    <w:p w:rsidR="00092B90" w:rsidRDefault="00092B90" w:rsidP="00092B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                                                           Prefeito Municipal</w:t>
      </w:r>
    </w:p>
    <w:p w:rsidR="00D938F6" w:rsidRDefault="00D938F6"/>
    <w:sectPr w:rsidR="00D938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B90"/>
    <w:rsid w:val="00092B90"/>
    <w:rsid w:val="00791F81"/>
    <w:rsid w:val="00D9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2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2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2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Junior</dc:creator>
  <cp:lastModifiedBy>Assessoria</cp:lastModifiedBy>
  <cp:revision>2</cp:revision>
  <dcterms:created xsi:type="dcterms:W3CDTF">2019-05-13T14:05:00Z</dcterms:created>
  <dcterms:modified xsi:type="dcterms:W3CDTF">2019-05-13T14:05:00Z</dcterms:modified>
</cp:coreProperties>
</file>