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B1" w:rsidRPr="00C61E86" w:rsidRDefault="009774B1" w:rsidP="00AB1EE8">
      <w:pPr>
        <w:pStyle w:val="Jurisprudncias"/>
        <w:spacing w:line="276" w:lineRule="auto"/>
        <w:rPr>
          <w:rFonts w:ascii="Times New Roman" w:hAnsi="Times New Roman" w:cs="Times New Roman"/>
        </w:rPr>
      </w:pPr>
    </w:p>
    <w:p w:rsidR="008827A5" w:rsidRPr="006460B3" w:rsidRDefault="008827A5" w:rsidP="006460B3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6460B3">
        <w:rPr>
          <w:rFonts w:ascii="Times New Roman" w:hAnsi="Times New Roman" w:cs="Times New Roman"/>
          <w:b/>
          <w:szCs w:val="24"/>
        </w:rPr>
        <w:t>REDA</w:t>
      </w:r>
      <w:r w:rsidR="00AB1EE8" w:rsidRPr="006460B3">
        <w:rPr>
          <w:rFonts w:ascii="Times New Roman" w:hAnsi="Times New Roman" w:cs="Times New Roman"/>
          <w:b/>
          <w:szCs w:val="24"/>
        </w:rPr>
        <w:t xml:space="preserve">ÇÃO FINAL AO PROJETO DE LEI Nº </w:t>
      </w:r>
      <w:r w:rsidR="006460B3" w:rsidRPr="006460B3">
        <w:rPr>
          <w:rFonts w:ascii="Times New Roman" w:hAnsi="Times New Roman" w:cs="Times New Roman"/>
          <w:b/>
          <w:szCs w:val="24"/>
        </w:rPr>
        <w:t>12</w:t>
      </w:r>
      <w:r w:rsidRPr="006460B3">
        <w:rPr>
          <w:rFonts w:ascii="Times New Roman" w:hAnsi="Times New Roman" w:cs="Times New Roman"/>
          <w:b/>
          <w:szCs w:val="24"/>
        </w:rPr>
        <w:t>/2023</w:t>
      </w:r>
    </w:p>
    <w:p w:rsidR="008827A5" w:rsidRPr="006460B3" w:rsidRDefault="008827A5" w:rsidP="006460B3">
      <w:pPr>
        <w:pStyle w:val="Ttulo2"/>
        <w:numPr>
          <w:ilvl w:val="0"/>
          <w:numId w:val="0"/>
        </w:numPr>
        <w:spacing w:line="240" w:lineRule="auto"/>
        <w:ind w:left="3969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 xml:space="preserve">            </w:t>
      </w:r>
    </w:p>
    <w:p w:rsidR="00951E43" w:rsidRPr="006460B3" w:rsidRDefault="00951E43" w:rsidP="006460B3">
      <w:pPr>
        <w:spacing w:line="240" w:lineRule="auto"/>
        <w:rPr>
          <w:rFonts w:ascii="Times New Roman" w:hAnsi="Times New Roman" w:cs="Times New Roman"/>
          <w:b/>
        </w:rPr>
      </w:pPr>
    </w:p>
    <w:p w:rsidR="006460B3" w:rsidRPr="006460B3" w:rsidRDefault="006460B3" w:rsidP="006460B3">
      <w:pPr>
        <w:spacing w:line="240" w:lineRule="auto"/>
        <w:ind w:left="2268"/>
        <w:rPr>
          <w:rFonts w:ascii="Times New Roman" w:hAnsi="Times New Roman" w:cs="Times New Roman"/>
          <w:b/>
          <w:szCs w:val="24"/>
        </w:rPr>
      </w:pPr>
      <w:r w:rsidRPr="006460B3">
        <w:rPr>
          <w:rFonts w:ascii="Times New Roman" w:hAnsi="Times New Roman" w:cs="Times New Roman"/>
          <w:b/>
          <w:szCs w:val="24"/>
        </w:rPr>
        <w:t>AUTORIZA O PODER EXECUTIVO A OUTORGAR A CONCESSÃO ONEROSA DE USO DE ESPAÇO PÚBLICO PARA INSTALAÇÃO DE LANCHONETE, GERENCIAMENTO E COMERCIALIZAÇÃO DE HORÁRIOS E ZELADORIA, EM ESPAÇO DA QUADRA COBERTA ESPORTIVA DO BAIRRO SULINA E DÁ OUTRAS PROVIDÊNCIAS.</w:t>
      </w:r>
    </w:p>
    <w:p w:rsidR="00951E43" w:rsidRPr="006460B3" w:rsidRDefault="00951E43" w:rsidP="006460B3">
      <w:pPr>
        <w:spacing w:line="240" w:lineRule="auto"/>
        <w:ind w:left="2268"/>
        <w:rPr>
          <w:rFonts w:ascii="Times New Roman" w:hAnsi="Times New Roman" w:cs="Times New Roman"/>
          <w:b/>
          <w:szCs w:val="24"/>
        </w:rPr>
      </w:pPr>
    </w:p>
    <w:p w:rsidR="008827A5" w:rsidRPr="006460B3" w:rsidRDefault="008827A5" w:rsidP="006460B3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8827A5" w:rsidRPr="006460B3" w:rsidRDefault="008827A5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ab/>
      </w:r>
      <w:r w:rsidRPr="006460B3">
        <w:rPr>
          <w:rFonts w:ascii="Times New Roman" w:hAnsi="Times New Roman" w:cs="Times New Roman"/>
          <w:szCs w:val="24"/>
        </w:rPr>
        <w:tab/>
        <w:t>A</w:t>
      </w:r>
      <w:r w:rsidRPr="006460B3">
        <w:rPr>
          <w:rFonts w:ascii="Times New Roman" w:hAnsi="Times New Roman" w:cs="Times New Roman"/>
          <w:b/>
          <w:szCs w:val="24"/>
        </w:rPr>
        <w:t xml:space="preserve"> PRESIDENTE </w:t>
      </w:r>
      <w:r w:rsidRPr="006460B3">
        <w:rPr>
          <w:rFonts w:ascii="Times New Roman" w:hAnsi="Times New Roman" w:cs="Times New Roman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AC332F" w:rsidRPr="006460B3" w:rsidRDefault="00AC332F" w:rsidP="006460B3">
      <w:pPr>
        <w:pStyle w:val="Jurisprudncias"/>
        <w:rPr>
          <w:rFonts w:ascii="Times New Roman" w:hAnsi="Times New Roman" w:cs="Times New Roman"/>
          <w:szCs w:val="24"/>
        </w:rPr>
      </w:pPr>
    </w:p>
    <w:p w:rsidR="006460B3" w:rsidRPr="006460B3" w:rsidRDefault="00AB1EE8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</w:rPr>
        <w:t xml:space="preserve">. </w:t>
      </w:r>
      <w:r w:rsidR="006460B3" w:rsidRPr="006460B3">
        <w:rPr>
          <w:rFonts w:ascii="Times New Roman" w:hAnsi="Times New Roman" w:cs="Times New Roman"/>
          <w:szCs w:val="24"/>
        </w:rPr>
        <w:t>Art. 1º Fica o Poder Executivo Municipal autorizado a outorgar a concessão de uso de espaço público para exploração da Quadra Coberta Esportiva do Bairro Sulina, edificada sobre o imóvel da matrícula n. 8.104, do Cartório de Registro de Imóveis da Comarca de São José do Cedro.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2º. A concessão de uso será feita com a meta de atender aos usuários do espaço concedido, no qual a concessionária deverá explorar a atividade típica da estrutura, compreendo a Quadra de Esportes, instalação de lanchonete, fornecendo refeições, lanches, bebidas e similares, nos locais destinados à essa finalidade e compreendidos na concessão.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 xml:space="preserve"> Art. 3º A concessão de uso de que trata esta Lei se fará de forma onerosa, pelo prazo determinado de cincos anos, prorrogável uma vez por igual período, em caráter privativo e sem exclusividade, a título precário, mediante a condição de que a área concedida seja utilizada exclusivamente para instalação e funcionamento das atividades relacionadas no artigo 2º desta Lei.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4º A escolha do concessionário será feita mediante processo licitatório, na Modalidade de Concorrência, do Tipo Maior Oferta, cujas condições de uso, lance mínimo, obrigações da concessionária e demais requisitos relacionados à seleção constarão do respectivo Edital, que deverá observar as seguintes condições mínimas: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I - o critério de julgamento das propostas será o de melhor oferta para a Administração, estabelecendo-se como lance mínimo o valor de R$ 100,00 (cem reais) mensais;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II - o licitante assume a responsabilidade pela segurança dos participantes e visitantes, pela limpeza e manutenção do espaço edificado e arredores compreendidos no interior do lote, pelas despesas com água, energia elétrica e outras afins, durante o período de uso;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III - as benfeitorias vindas de quaisquer acréscimos ou melhorias realizadas, com autorização da Secretaria Municipal de Educação, Cultura e Esportes, serão incorporadas ao imóvel, sem nenhum ônus para o Município;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IV – o concessionário poderá executar obras de benfeitorias vindas de quaisquer acréscimos ou melhorias realizadas, com autorização, as quais serão incorporadas ao imóvel, sem nenhum ônus para o Município;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lastRenderedPageBreak/>
        <w:t>V - não será permitida a comercialização de bebidas alcoólicas em eventos destinados a crianças e adolescentes, bem como artigos de tabacaria, bilhetes lotéricos e caça níqueis;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VI – O Município, durante o período da concessão, disporá da Quadra Coberta para promoções de seus eventos legais, para fins de assistência social e educativos, esportivos, práticas escolares dos alunos da rede municipal, pelo tempo necessário, e poderá permitir o uso do Quadra Coberta, a título precário, a terceiros, quando presente o interesse público e mediante prévio agendamento.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VII – o concessionário fica autorizado a explorar a quadra de esportes em horários pré-definidos pelo poder concedente, praticando preço público condizente com os valores de mercado ou fixados pelo poder concedente.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5º. A remuneração pelos serviços prestados, pelo capital de giro e investimentos despendidos pela concessionária será obtida pela renda que resultar: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I – da exploração comercial, direta ou indireta, de todo espaço físico interno ou externo compreendido na concessão;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II – da venda de bebidas, alimentos, horários para jogos e outros equipamentos instalados na Quadra Coberta.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Parágrafo único. A concessionária assume o risco pela exploração das atividades no espaço concedido e não terá outra receita advinda do poder concedente.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6º. O uso da quadra de esportes, por terceiros, terá suas tarifas fixadas por Decreto e sua variação obedecerá, rigorosamente, as regras e periodicidade nele estipuladas, ratificadas no contrato de concessão.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 xml:space="preserve">Art. 7º Em caso de retrocessão, as benfeitorias porventura erigidas no imóvel cedido e não passiveis de remoção, serão incorporadas ao Patrimônio do Município, não havendo por parte da concessionária, direito a qualquer indenização ou retenção por benfeitorias que nele realizar. 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Parágrafo único. O imóvel cedido deverá ser devolvido nas mesmas condições recebidas, sob pena de responder por perdas e danos.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color w:val="FF0000"/>
          <w:szCs w:val="24"/>
        </w:rPr>
      </w:pPr>
      <w:r w:rsidRPr="006460B3">
        <w:rPr>
          <w:rFonts w:ascii="Times New Roman" w:hAnsi="Times New Roman" w:cs="Times New Roman"/>
          <w:szCs w:val="24"/>
        </w:rPr>
        <w:t>Art. 8º. A concessão de que trata esta Lei será a título oneroso e se realizará mediante processo licitatório, na modalidade de concorrência pública com a opção pela aplicação da Lei Federal n. 8666/93, respeitados os prazos do Decreto Municipal nº 58/2023 de 27 de março de 2023.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9º Os requisitos específicos para a exploração dos espaços serão dispostos em edital de licitação próprio.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10. A exploração dos serviços a serem prestados ficarão sujeitos à legislação e fiscalização do Poder concedente, incumbindo aos que os executarem a sua permanente atualização e adequação às necessidades dos usuários.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11. O Poder Executivo poderá, a qualquer tempo, intervir na concessão com o fim de assegurar a adequação na prestação dos serviços, bem como o fiel cumprimento das normas contratuais, regulamentares e legais pertinentes.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Parágrafo Único. A intervenção será feita através de decreto, que conterá a designação do interventor, o prazo da intervenção e os objetivos e limites da medida.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12. Extinta a concessão, por quaisquer dos meios previstos em lei ou no edital de licitação, retornam ao Poder concedente todos os bens reversíveis, direitos e privilégios transferidos ao concessionário através do contrato.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 xml:space="preserve">Art. 13. Respeitado o disposto no artigo 8º desta Lei, a concessão ora tratada será regida e embasada, no que couber, pela Lei nº 8.666, de 21 de junho de 1993, com </w:t>
      </w:r>
      <w:r w:rsidRPr="006460B3">
        <w:rPr>
          <w:rFonts w:ascii="Times New Roman" w:hAnsi="Times New Roman" w:cs="Times New Roman"/>
          <w:szCs w:val="24"/>
        </w:rPr>
        <w:lastRenderedPageBreak/>
        <w:t>suas alterações posteriores, pelo edital de licitação e pelas cláusulas contratuais a serem firmadas.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14. As despesas decorrentes da aplicação da presente Lei correrão por conta de dotações do orçamento vigente.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15. Esta Lei entrará em vigor na data de sua publicação.</w:t>
      </w:r>
    </w:p>
    <w:p w:rsidR="006460B3" w:rsidRPr="006460B3" w:rsidRDefault="006460B3" w:rsidP="006460B3">
      <w:pPr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>Art. 16. Ficam revogadas as disposições em contrário.</w:t>
      </w:r>
    </w:p>
    <w:p w:rsidR="006460B3" w:rsidRPr="006460B3" w:rsidRDefault="006460B3" w:rsidP="006460B3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</w:p>
    <w:p w:rsidR="008827A5" w:rsidRPr="006460B3" w:rsidRDefault="008827A5" w:rsidP="006460B3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szCs w:val="24"/>
        </w:rPr>
        <w:t xml:space="preserve">Da Secretaria da Câmara Municipal de Vereadores de Guarujá do Sul, Estado de Santa Catarina, </w:t>
      </w:r>
      <w:r w:rsidR="00951E43" w:rsidRPr="006460B3">
        <w:rPr>
          <w:rFonts w:ascii="Times New Roman" w:hAnsi="Times New Roman" w:cs="Times New Roman"/>
          <w:szCs w:val="24"/>
        </w:rPr>
        <w:t>1</w:t>
      </w:r>
      <w:r w:rsidR="006460B3">
        <w:rPr>
          <w:rFonts w:ascii="Times New Roman" w:hAnsi="Times New Roman" w:cs="Times New Roman"/>
          <w:szCs w:val="24"/>
        </w:rPr>
        <w:t>9</w:t>
      </w:r>
      <w:r w:rsidR="00AB1EE8" w:rsidRPr="006460B3">
        <w:rPr>
          <w:rFonts w:ascii="Times New Roman" w:hAnsi="Times New Roman" w:cs="Times New Roman"/>
          <w:szCs w:val="24"/>
        </w:rPr>
        <w:t xml:space="preserve"> de abril</w:t>
      </w:r>
      <w:r w:rsidRPr="006460B3">
        <w:rPr>
          <w:rFonts w:ascii="Times New Roman" w:hAnsi="Times New Roman" w:cs="Times New Roman"/>
          <w:szCs w:val="24"/>
        </w:rPr>
        <w:t xml:space="preserve"> de 2023. Em sua 15ª Legislatura, 3ª Sessão Legislativa, 2º Período, 60ª Instalação Legislativa.</w:t>
      </w:r>
    </w:p>
    <w:p w:rsidR="008827A5" w:rsidRPr="006460B3" w:rsidRDefault="008827A5" w:rsidP="006460B3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</w:p>
    <w:p w:rsidR="008827A5" w:rsidRPr="006460B3" w:rsidRDefault="008827A5" w:rsidP="006460B3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951E43" w:rsidRPr="006460B3" w:rsidRDefault="00951E43" w:rsidP="006460B3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951E43" w:rsidRPr="006460B3" w:rsidRDefault="00951E43" w:rsidP="006460B3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C61E86" w:rsidRPr="006460B3" w:rsidRDefault="00C61E86" w:rsidP="006460B3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8827A5" w:rsidRPr="006460B3" w:rsidRDefault="008827A5" w:rsidP="006460B3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AB1EE8" w:rsidRPr="006460B3" w:rsidRDefault="00AB1EE8" w:rsidP="006460B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6460B3">
        <w:rPr>
          <w:rFonts w:ascii="Times New Roman" w:hAnsi="Times New Roman" w:cs="Times New Roman"/>
          <w:b/>
          <w:bCs/>
          <w:szCs w:val="24"/>
        </w:rPr>
        <w:t>DALVÂ</w:t>
      </w:r>
      <w:r w:rsidR="008827A5" w:rsidRPr="006460B3">
        <w:rPr>
          <w:rFonts w:ascii="Times New Roman" w:hAnsi="Times New Roman" w:cs="Times New Roman"/>
          <w:b/>
          <w:bCs/>
          <w:szCs w:val="24"/>
        </w:rPr>
        <w:t>NI ROBERTA LERMEN</w:t>
      </w:r>
      <w:r w:rsidRPr="006460B3">
        <w:rPr>
          <w:rFonts w:ascii="Times New Roman" w:hAnsi="Times New Roman" w:cs="Times New Roman"/>
          <w:b/>
          <w:bCs/>
          <w:szCs w:val="24"/>
        </w:rPr>
        <w:t xml:space="preserve">             RODRIGO ANDRÉ LUNKES</w:t>
      </w:r>
    </w:p>
    <w:p w:rsidR="00AB1EE8" w:rsidRPr="006460B3" w:rsidRDefault="00951E43" w:rsidP="006460B3">
      <w:pPr>
        <w:shd w:val="clear" w:color="auto" w:fill="FFFFFF"/>
        <w:spacing w:line="240" w:lineRule="auto"/>
        <w:rPr>
          <w:rFonts w:ascii="Times New Roman" w:hAnsi="Times New Roman" w:cs="Times New Roman"/>
          <w:szCs w:val="24"/>
        </w:rPr>
      </w:pPr>
      <w:r w:rsidRPr="006460B3">
        <w:rPr>
          <w:rFonts w:ascii="Times New Roman" w:hAnsi="Times New Roman" w:cs="Times New Roman"/>
          <w:bCs/>
          <w:szCs w:val="24"/>
        </w:rPr>
        <w:t xml:space="preserve">             </w:t>
      </w:r>
      <w:r w:rsidR="006460B3">
        <w:rPr>
          <w:rFonts w:ascii="Times New Roman" w:hAnsi="Times New Roman" w:cs="Times New Roman"/>
          <w:bCs/>
          <w:szCs w:val="24"/>
        </w:rPr>
        <w:t xml:space="preserve">      </w:t>
      </w:r>
      <w:r w:rsidR="00AB1EE8" w:rsidRPr="006460B3">
        <w:rPr>
          <w:rFonts w:ascii="Times New Roman" w:hAnsi="Times New Roman" w:cs="Times New Roman"/>
          <w:bCs/>
          <w:szCs w:val="24"/>
        </w:rPr>
        <w:t xml:space="preserve">Presidente                         </w:t>
      </w:r>
      <w:r w:rsidRPr="006460B3">
        <w:rPr>
          <w:rFonts w:ascii="Times New Roman" w:hAnsi="Times New Roman" w:cs="Times New Roman"/>
          <w:bCs/>
          <w:szCs w:val="24"/>
        </w:rPr>
        <w:t xml:space="preserve">                     </w:t>
      </w:r>
      <w:r w:rsidR="00AB1EE8" w:rsidRPr="006460B3">
        <w:rPr>
          <w:rFonts w:ascii="Times New Roman" w:hAnsi="Times New Roman" w:cs="Times New Roman"/>
          <w:bCs/>
          <w:szCs w:val="24"/>
        </w:rPr>
        <w:t xml:space="preserve"> 1ª Secretário</w:t>
      </w:r>
    </w:p>
    <w:p w:rsidR="009774B1" w:rsidRPr="006460B3" w:rsidRDefault="00C61E86" w:rsidP="006460B3">
      <w:pPr>
        <w:pStyle w:val="Jurisprudncias"/>
        <w:tabs>
          <w:tab w:val="left" w:pos="5655"/>
        </w:tabs>
        <w:rPr>
          <w:rFonts w:ascii="Times New Roman" w:hAnsi="Times New Roman" w:cs="Times New Roman"/>
          <w:b/>
        </w:rPr>
      </w:pPr>
      <w:r w:rsidRPr="006460B3">
        <w:rPr>
          <w:rFonts w:ascii="Times New Roman" w:hAnsi="Times New Roman" w:cs="Times New Roman"/>
          <w:b/>
        </w:rPr>
        <w:tab/>
      </w:r>
    </w:p>
    <w:sectPr w:rsidR="009774B1" w:rsidRPr="006460B3" w:rsidSect="008827A5">
      <w:headerReference w:type="default" r:id="rId8"/>
      <w:footerReference w:type="default" r:id="rId9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88E" w:rsidRDefault="00E6488E" w:rsidP="00AC332F">
      <w:pPr>
        <w:spacing w:line="240" w:lineRule="auto"/>
      </w:pPr>
      <w:r>
        <w:separator/>
      </w:r>
    </w:p>
  </w:endnote>
  <w:endnote w:type="continuationSeparator" w:id="1">
    <w:p w:rsidR="00E6488E" w:rsidRDefault="00E6488E" w:rsidP="00AC33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6A3BD8" w:rsidTr="67C0E891">
      <w:trPr>
        <w:trHeight w:val="300"/>
      </w:trPr>
      <w:tc>
        <w:tcPr>
          <w:tcW w:w="2830" w:type="dxa"/>
        </w:tcPr>
        <w:p w:rsidR="006A3BD8" w:rsidRDefault="006A3BD8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jc w:val="center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ind w:right="-115"/>
            <w:jc w:val="right"/>
          </w:pPr>
        </w:p>
      </w:tc>
    </w:tr>
  </w:tbl>
  <w:p w:rsidR="006A3BD8" w:rsidRDefault="006A3BD8" w:rsidP="67C0E8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88E" w:rsidRDefault="00E6488E" w:rsidP="00AC332F">
      <w:pPr>
        <w:spacing w:line="240" w:lineRule="auto"/>
      </w:pPr>
      <w:r>
        <w:separator/>
      </w:r>
    </w:p>
  </w:footnote>
  <w:footnote w:type="continuationSeparator" w:id="1">
    <w:p w:rsidR="00E6488E" w:rsidRDefault="00E6488E" w:rsidP="00AC332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6A3BD8" w:rsidTr="67C0E891">
      <w:trPr>
        <w:trHeight w:val="300"/>
      </w:trPr>
      <w:tc>
        <w:tcPr>
          <w:tcW w:w="2830" w:type="dxa"/>
        </w:tcPr>
        <w:p w:rsidR="006A3BD8" w:rsidRDefault="006A3BD8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jc w:val="center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ind w:right="-115"/>
            <w:jc w:val="right"/>
          </w:pPr>
        </w:p>
      </w:tc>
    </w:tr>
  </w:tbl>
  <w:p w:rsidR="006A3BD8" w:rsidRDefault="006A3BD8" w:rsidP="67C0E89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6471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>
    <w:nsid w:val="14E25CB0"/>
    <w:multiLevelType w:val="hybridMultilevel"/>
    <w:tmpl w:val="D58600E4"/>
    <w:lvl w:ilvl="0" w:tplc="A3EE8076">
      <w:start w:val="1"/>
      <w:numFmt w:val="decimal"/>
      <w:pStyle w:val="Camov-ttulo2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uário Convidado">
    <w15:presenceInfo w15:providerId="AD" w15:userId="S::urn:spo:anon#723c4709c12ff2c0d3fadb1b5c9ec10ad620be8e28ae1d80619ff7711e48fbd7::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0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32F"/>
    <w:rsid w:val="00037BC7"/>
    <w:rsid w:val="00046273"/>
    <w:rsid w:val="00057318"/>
    <w:rsid w:val="00070714"/>
    <w:rsid w:val="00095C19"/>
    <w:rsid w:val="000A0134"/>
    <w:rsid w:val="000A05CF"/>
    <w:rsid w:val="000A4A05"/>
    <w:rsid w:val="000B50D2"/>
    <w:rsid w:val="00110F45"/>
    <w:rsid w:val="00124278"/>
    <w:rsid w:val="00125A20"/>
    <w:rsid w:val="001553C7"/>
    <w:rsid w:val="0017185F"/>
    <w:rsid w:val="00186538"/>
    <w:rsid w:val="00193433"/>
    <w:rsid w:val="00194600"/>
    <w:rsid w:val="001957E0"/>
    <w:rsid w:val="001B4307"/>
    <w:rsid w:val="001C41AC"/>
    <w:rsid w:val="001C7395"/>
    <w:rsid w:val="001E0638"/>
    <w:rsid w:val="00202002"/>
    <w:rsid w:val="002200D6"/>
    <w:rsid w:val="00223244"/>
    <w:rsid w:val="0022710E"/>
    <w:rsid w:val="00236C39"/>
    <w:rsid w:val="00255CD9"/>
    <w:rsid w:val="00275A57"/>
    <w:rsid w:val="00277416"/>
    <w:rsid w:val="002B62C5"/>
    <w:rsid w:val="002B7ADD"/>
    <w:rsid w:val="002D0CCC"/>
    <w:rsid w:val="002E0D18"/>
    <w:rsid w:val="002E2A67"/>
    <w:rsid w:val="002F107A"/>
    <w:rsid w:val="0033096F"/>
    <w:rsid w:val="003315A8"/>
    <w:rsid w:val="00334852"/>
    <w:rsid w:val="00335971"/>
    <w:rsid w:val="00342EEC"/>
    <w:rsid w:val="00347258"/>
    <w:rsid w:val="00390DBD"/>
    <w:rsid w:val="003D528E"/>
    <w:rsid w:val="003D5975"/>
    <w:rsid w:val="00401E31"/>
    <w:rsid w:val="00415511"/>
    <w:rsid w:val="004817B5"/>
    <w:rsid w:val="004841AE"/>
    <w:rsid w:val="00491EA7"/>
    <w:rsid w:val="004F6F6A"/>
    <w:rsid w:val="0053759B"/>
    <w:rsid w:val="0054211B"/>
    <w:rsid w:val="00564EFD"/>
    <w:rsid w:val="00574DD5"/>
    <w:rsid w:val="005956E8"/>
    <w:rsid w:val="005A22E4"/>
    <w:rsid w:val="005B0C5C"/>
    <w:rsid w:val="00606567"/>
    <w:rsid w:val="00607746"/>
    <w:rsid w:val="00626370"/>
    <w:rsid w:val="006460B3"/>
    <w:rsid w:val="00650E27"/>
    <w:rsid w:val="00653FFA"/>
    <w:rsid w:val="00671D68"/>
    <w:rsid w:val="006A3BD8"/>
    <w:rsid w:val="006D4EAF"/>
    <w:rsid w:val="006E4227"/>
    <w:rsid w:val="00733BA9"/>
    <w:rsid w:val="00753C0C"/>
    <w:rsid w:val="0075620A"/>
    <w:rsid w:val="0076340F"/>
    <w:rsid w:val="00790662"/>
    <w:rsid w:val="00795B2E"/>
    <w:rsid w:val="007A1279"/>
    <w:rsid w:val="007A1E78"/>
    <w:rsid w:val="007B2949"/>
    <w:rsid w:val="007E35FD"/>
    <w:rsid w:val="007F1461"/>
    <w:rsid w:val="007F2F4A"/>
    <w:rsid w:val="008076C5"/>
    <w:rsid w:val="00821F41"/>
    <w:rsid w:val="00824C5C"/>
    <w:rsid w:val="0084216D"/>
    <w:rsid w:val="00844F2B"/>
    <w:rsid w:val="00850D30"/>
    <w:rsid w:val="008827A5"/>
    <w:rsid w:val="008921A4"/>
    <w:rsid w:val="00894034"/>
    <w:rsid w:val="008B63B7"/>
    <w:rsid w:val="008C5975"/>
    <w:rsid w:val="008F5D35"/>
    <w:rsid w:val="00912240"/>
    <w:rsid w:val="00915CC6"/>
    <w:rsid w:val="00921486"/>
    <w:rsid w:val="00951E43"/>
    <w:rsid w:val="0097298F"/>
    <w:rsid w:val="009741D0"/>
    <w:rsid w:val="009774B1"/>
    <w:rsid w:val="00991330"/>
    <w:rsid w:val="009C3CB9"/>
    <w:rsid w:val="009E6FD6"/>
    <w:rsid w:val="00A20974"/>
    <w:rsid w:val="00A558D7"/>
    <w:rsid w:val="00A71EF6"/>
    <w:rsid w:val="00A867EB"/>
    <w:rsid w:val="00A936CF"/>
    <w:rsid w:val="00AB1EE8"/>
    <w:rsid w:val="00AC332F"/>
    <w:rsid w:val="00AF3E6F"/>
    <w:rsid w:val="00B429C3"/>
    <w:rsid w:val="00B672F5"/>
    <w:rsid w:val="00B75C47"/>
    <w:rsid w:val="00B91630"/>
    <w:rsid w:val="00BA254F"/>
    <w:rsid w:val="00BC7D9D"/>
    <w:rsid w:val="00BE53F1"/>
    <w:rsid w:val="00BF3EAA"/>
    <w:rsid w:val="00C61E86"/>
    <w:rsid w:val="00C92DF1"/>
    <w:rsid w:val="00C95418"/>
    <w:rsid w:val="00CB5482"/>
    <w:rsid w:val="00CD01B1"/>
    <w:rsid w:val="00CF0D8E"/>
    <w:rsid w:val="00D07D6C"/>
    <w:rsid w:val="00D24308"/>
    <w:rsid w:val="00D53AB5"/>
    <w:rsid w:val="00D7175D"/>
    <w:rsid w:val="00D8651E"/>
    <w:rsid w:val="00D8781F"/>
    <w:rsid w:val="00DA3C86"/>
    <w:rsid w:val="00DB6D3E"/>
    <w:rsid w:val="00DC1B03"/>
    <w:rsid w:val="00DC61F4"/>
    <w:rsid w:val="00DE0827"/>
    <w:rsid w:val="00DE2FE1"/>
    <w:rsid w:val="00DF2E3B"/>
    <w:rsid w:val="00E05DE4"/>
    <w:rsid w:val="00E10670"/>
    <w:rsid w:val="00E42090"/>
    <w:rsid w:val="00E610BF"/>
    <w:rsid w:val="00E6488E"/>
    <w:rsid w:val="00EA17BC"/>
    <w:rsid w:val="00EC2B81"/>
    <w:rsid w:val="00EF6D20"/>
    <w:rsid w:val="00F25E42"/>
    <w:rsid w:val="00F37CF2"/>
    <w:rsid w:val="00F722F9"/>
    <w:rsid w:val="071520FA"/>
    <w:rsid w:val="588D0714"/>
    <w:rsid w:val="5D48FD49"/>
    <w:rsid w:val="67C0E891"/>
    <w:rsid w:val="768D7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AMOV - texto"/>
    <w:link w:val="CAMOV-textoChar"/>
    <w:qFormat/>
    <w:rsid w:val="00AC332F"/>
    <w:pPr>
      <w:spacing w:after="0"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332F"/>
    <w:pPr>
      <w:keepNext/>
      <w:keepLines/>
      <w:numPr>
        <w:numId w:val="2"/>
      </w:numPr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332F"/>
    <w:pPr>
      <w:keepNext/>
      <w:keepLines/>
      <w:numPr>
        <w:ilvl w:val="1"/>
        <w:numId w:val="2"/>
      </w:numPr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C332F"/>
    <w:pPr>
      <w:keepNext/>
      <w:keepLines/>
      <w:numPr>
        <w:ilvl w:val="2"/>
        <w:numId w:val="2"/>
      </w:numPr>
      <w:outlineLvl w:val="2"/>
    </w:pPr>
    <w:rPr>
      <w:rFonts w:eastAsiaTheme="majorEastAsia" w:cstheme="majorBidi"/>
      <w:i/>
      <w:color w:val="000000" w:themeColor="text1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332F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332F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332F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332F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332F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332F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har"/>
    <w:uiPriority w:val="11"/>
    <w:qFormat/>
    <w:rsid w:val="007F2F4A"/>
    <w:pPr>
      <w:numPr>
        <w:ilvl w:val="1"/>
      </w:numPr>
      <w:ind w:firstLine="851"/>
      <w:jc w:val="left"/>
      <w:outlineLvl w:val="1"/>
    </w:pPr>
    <w:rPr>
      <w:rFonts w:eastAsiaTheme="minorEastAsia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F2F4A"/>
    <w:rPr>
      <w:rFonts w:ascii="Arial" w:eastAsiaTheme="minorEastAsia" w:hAnsi="Arial"/>
      <w:color w:val="000000" w:themeColor="text1"/>
      <w:spacing w:val="15"/>
    </w:rPr>
  </w:style>
  <w:style w:type="paragraph" w:styleId="Ttulo">
    <w:name w:val="Title"/>
    <w:basedOn w:val="Normal"/>
    <w:next w:val="Normal"/>
    <w:link w:val="TtuloChar"/>
    <w:uiPriority w:val="10"/>
    <w:qFormat/>
    <w:rsid w:val="007F2F4A"/>
    <w:pPr>
      <w:contextualSpacing/>
      <w:outlineLvl w:val="0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2F4A"/>
    <w:rPr>
      <w:rFonts w:ascii="Arial" w:eastAsiaTheme="majorEastAsia" w:hAnsi="Arial" w:cstheme="majorBidi"/>
      <w:b/>
      <w:color w:val="000000" w:themeColor="text1"/>
      <w:spacing w:val="-10"/>
      <w:kern w:val="28"/>
      <w:sz w:val="24"/>
      <w:szCs w:val="56"/>
    </w:rPr>
  </w:style>
  <w:style w:type="character" w:customStyle="1" w:styleId="CAMOV-textoChar">
    <w:name w:val="CAMOV - texto Char"/>
    <w:basedOn w:val="Fontepargpadro"/>
    <w:rsid w:val="009741D0"/>
    <w:rPr>
      <w:rFonts w:ascii="Arial" w:hAnsi="Arial"/>
      <w:color w:val="000000" w:themeColor="text1"/>
    </w:rPr>
  </w:style>
  <w:style w:type="paragraph" w:customStyle="1" w:styleId="CAMOV-ttulo1">
    <w:name w:val="CAMOV - título 1"/>
    <w:basedOn w:val="Normal"/>
    <w:next w:val="Normal"/>
    <w:link w:val="CAMOV-ttulo1Char"/>
    <w:autoRedefine/>
    <w:qFormat/>
    <w:rsid w:val="009741D0"/>
    <w:pPr>
      <w:outlineLvl w:val="0"/>
    </w:pPr>
    <w:rPr>
      <w:b/>
    </w:rPr>
  </w:style>
  <w:style w:type="character" w:customStyle="1" w:styleId="CAMOV-ttulo1Char">
    <w:name w:val="CAMOV - título 1 Char"/>
    <w:basedOn w:val="CAMOV-textoChar"/>
    <w:link w:val="CAMOV-ttulo1"/>
    <w:rsid w:val="009741D0"/>
    <w:rPr>
      <w:rFonts w:ascii="Arial" w:hAnsi="Arial"/>
      <w:b/>
      <w:color w:val="000000" w:themeColor="text1"/>
      <w:sz w:val="24"/>
    </w:rPr>
  </w:style>
  <w:style w:type="paragraph" w:customStyle="1" w:styleId="Camov-ttulo2">
    <w:name w:val="Camov - título 2"/>
    <w:basedOn w:val="CAMOV-ttulo1"/>
    <w:link w:val="Camov-ttulo2Char"/>
    <w:autoRedefine/>
    <w:qFormat/>
    <w:rsid w:val="009741D0"/>
    <w:pPr>
      <w:numPr>
        <w:numId w:val="1"/>
      </w:numPr>
      <w:ind w:left="0" w:firstLine="0"/>
      <w:outlineLvl w:val="1"/>
    </w:pPr>
  </w:style>
  <w:style w:type="character" w:customStyle="1" w:styleId="Camov-ttulo2Char">
    <w:name w:val="Camov - título 2 Char"/>
    <w:basedOn w:val="CAMOV-ttulo1Char"/>
    <w:link w:val="Camov-ttulo2"/>
    <w:rsid w:val="009741D0"/>
    <w:rPr>
      <w:rFonts w:ascii="Arial" w:hAnsi="Arial"/>
      <w:b/>
      <w:color w:val="000000" w:themeColor="text1"/>
      <w:sz w:val="24"/>
    </w:rPr>
  </w:style>
  <w:style w:type="paragraph" w:customStyle="1" w:styleId="Camov-Subttulo">
    <w:name w:val="Camov - Subtítulo"/>
    <w:basedOn w:val="CAMOV-ttulo1"/>
    <w:next w:val="Normal"/>
    <w:link w:val="Camov-SubttuloChar"/>
    <w:autoRedefine/>
    <w:qFormat/>
    <w:rsid w:val="009741D0"/>
    <w:pPr>
      <w:outlineLvl w:val="9"/>
    </w:pPr>
    <w:rPr>
      <w:b w:val="0"/>
    </w:rPr>
  </w:style>
  <w:style w:type="character" w:customStyle="1" w:styleId="Camov-SubttuloChar">
    <w:name w:val="Camov - Subtítulo Char"/>
    <w:basedOn w:val="CAMOV-ttulo1Char"/>
    <w:link w:val="Camov-Subttulo"/>
    <w:rsid w:val="009741D0"/>
    <w:rPr>
      <w:rFonts w:ascii="Arial" w:hAnsi="Arial"/>
      <w:b w:val="0"/>
      <w:color w:val="000000" w:themeColor="tex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C332F"/>
    <w:rPr>
      <w:rFonts w:ascii="Arial" w:eastAsiaTheme="majorEastAsia" w:hAnsi="Arial" w:cstheme="majorBidi"/>
      <w:b/>
      <w:sz w:val="26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AC332F"/>
    <w:rPr>
      <w:rFonts w:ascii="Arial" w:eastAsiaTheme="majorEastAsia" w:hAnsi="Arial" w:cstheme="majorBidi"/>
      <w:b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AC332F"/>
    <w:rPr>
      <w:rFonts w:ascii="Arial" w:eastAsiaTheme="majorEastAsia" w:hAnsi="Arial" w:cstheme="majorBidi"/>
      <w:i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332F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332F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332F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332F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332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332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itao">
    <w:name w:val="Quote"/>
    <w:basedOn w:val="Normal"/>
    <w:next w:val="Normal"/>
    <w:link w:val="CitaoChar"/>
    <w:uiPriority w:val="29"/>
    <w:qFormat/>
    <w:rsid w:val="00AC332F"/>
    <w:pPr>
      <w:spacing w:line="240" w:lineRule="auto"/>
      <w:ind w:left="2268" w:firstLine="0"/>
    </w:pPr>
    <w:rPr>
      <w:iCs/>
      <w:color w:val="404040" w:themeColor="text1" w:themeTint="BF"/>
      <w:sz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AC332F"/>
    <w:rPr>
      <w:rFonts w:ascii="Arial" w:hAnsi="Arial"/>
      <w:iCs/>
      <w:color w:val="404040" w:themeColor="text1" w:themeTint="BF"/>
      <w:sz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AC332F"/>
    <w:rPr>
      <w:rFonts w:ascii="Arial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C332F"/>
    <w:rPr>
      <w:vertAlign w:val="superscript"/>
    </w:rPr>
  </w:style>
  <w:style w:type="paragraph" w:customStyle="1" w:styleId="Notaderodap">
    <w:name w:val="Nota de rodapé"/>
    <w:basedOn w:val="Textodenotaderodap"/>
    <w:link w:val="NotaderodapChar"/>
    <w:qFormat/>
    <w:rsid w:val="00AC332F"/>
    <w:pPr>
      <w:ind w:firstLine="0"/>
    </w:pPr>
  </w:style>
  <w:style w:type="character" w:styleId="Hyperlink">
    <w:name w:val="Hyperlink"/>
    <w:basedOn w:val="Fontepargpadro"/>
    <w:uiPriority w:val="99"/>
    <w:unhideWhenUsed/>
    <w:rsid w:val="00B429C3"/>
    <w:rPr>
      <w:color w:val="auto"/>
      <w:u w:val="none"/>
    </w:rPr>
  </w:style>
  <w:style w:type="character" w:customStyle="1" w:styleId="NotaderodapChar">
    <w:name w:val="Nota de rodapé Char"/>
    <w:basedOn w:val="TextodenotaderodapChar"/>
    <w:link w:val="Notaderodap"/>
    <w:rsid w:val="00AC332F"/>
    <w:rPr>
      <w:rFonts w:ascii="Arial" w:hAnsi="Arial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C332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AC332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C332F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332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332F"/>
    <w:rPr>
      <w:rFonts w:ascii="Arial" w:hAnsi="Arial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AC332F"/>
    <w:pPr>
      <w:spacing w:after="0" w:line="240" w:lineRule="auto"/>
    </w:pPr>
    <w:rPr>
      <w:rFonts w:eastAsia="SimSu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coradanotaderodap">
    <w:name w:val="Âncora da nota de rodapé"/>
    <w:rsid w:val="00AC332F"/>
    <w:rPr>
      <w:vertAlign w:val="superscript"/>
    </w:rPr>
  </w:style>
  <w:style w:type="character" w:customStyle="1" w:styleId="Caracteresdenotaderodap">
    <w:name w:val="Caracteres de nota de rodapé"/>
    <w:qFormat/>
    <w:rsid w:val="00AC332F"/>
  </w:style>
  <w:style w:type="paragraph" w:styleId="CabealhodoSumrio">
    <w:name w:val="TOC Heading"/>
    <w:basedOn w:val="Ttulo1"/>
    <w:next w:val="Normal"/>
    <w:uiPriority w:val="39"/>
    <w:unhideWhenUsed/>
    <w:qFormat/>
    <w:rsid w:val="00AC332F"/>
    <w:pPr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AC332F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AC332F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AC332F"/>
    <w:pPr>
      <w:spacing w:after="100"/>
      <w:ind w:left="480"/>
    </w:pPr>
  </w:style>
  <w:style w:type="paragraph" w:styleId="Cabealho">
    <w:name w:val="header"/>
    <w:basedOn w:val="Normal"/>
    <w:link w:val="Cabealho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32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32F"/>
    <w:rPr>
      <w:rFonts w:ascii="Arial" w:hAnsi="Arial"/>
      <w:sz w:val="24"/>
    </w:rPr>
  </w:style>
  <w:style w:type="paragraph" w:customStyle="1" w:styleId="Jurisprudncias">
    <w:name w:val="Jurisprudências"/>
    <w:basedOn w:val="Normal"/>
    <w:link w:val="JurisprudnciasChar"/>
    <w:qFormat/>
    <w:rsid w:val="00AC332F"/>
    <w:pPr>
      <w:spacing w:line="240" w:lineRule="auto"/>
      <w:ind w:firstLine="0"/>
    </w:pPr>
  </w:style>
  <w:style w:type="character" w:customStyle="1" w:styleId="JurisprudnciasChar">
    <w:name w:val="Jurisprudências Char"/>
    <w:basedOn w:val="Fontepargpadro"/>
    <w:link w:val="Jurisprudncias"/>
    <w:rsid w:val="00AC332F"/>
    <w:rPr>
      <w:rFonts w:ascii="Arial" w:hAnsi="Arial"/>
      <w:sz w:val="24"/>
    </w:rPr>
  </w:style>
  <w:style w:type="paragraph" w:styleId="Sumrio4">
    <w:name w:val="toc 4"/>
    <w:basedOn w:val="Normal"/>
    <w:next w:val="Normal"/>
    <w:autoRedefine/>
    <w:uiPriority w:val="39"/>
    <w:unhideWhenUsed/>
    <w:rsid w:val="00AC332F"/>
    <w:pPr>
      <w:spacing w:after="100" w:line="259" w:lineRule="auto"/>
      <w:ind w:left="6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AC332F"/>
    <w:pPr>
      <w:spacing w:after="100" w:line="259" w:lineRule="auto"/>
      <w:ind w:left="88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AC332F"/>
    <w:pPr>
      <w:spacing w:after="100" w:line="259" w:lineRule="auto"/>
      <w:ind w:left="110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AC332F"/>
    <w:pPr>
      <w:spacing w:after="100" w:line="259" w:lineRule="auto"/>
      <w:ind w:left="132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AC332F"/>
    <w:pPr>
      <w:spacing w:after="100" w:line="259" w:lineRule="auto"/>
      <w:ind w:left="154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AC332F"/>
    <w:pPr>
      <w:spacing w:after="100" w:line="259" w:lineRule="auto"/>
      <w:ind w:left="17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33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332F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AC332F"/>
    <w:pPr>
      <w:spacing w:after="0" w:line="240" w:lineRule="auto"/>
    </w:pPr>
    <w:rPr>
      <w:rFonts w:ascii="Arial" w:hAnsi="Arial"/>
      <w:sz w:val="24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B429C3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8827A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AB1EE8"/>
    <w:pPr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B1E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B1EE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B1EE8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61E8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61E86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0C9AB-28A6-4BE8-A7FB-1AAC49798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1052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Publico de Santa Catarina</Company>
  <LinksUpToDate>false</LinksUpToDate>
  <CharactersWithSpaces>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Cristina Delgado Guerreiro</dc:creator>
  <cp:lastModifiedBy>Câmara</cp:lastModifiedBy>
  <cp:revision>2</cp:revision>
  <cp:lastPrinted>2023-05-03T10:47:00Z</cp:lastPrinted>
  <dcterms:created xsi:type="dcterms:W3CDTF">2023-05-03T10:48:00Z</dcterms:created>
  <dcterms:modified xsi:type="dcterms:W3CDTF">2023-05-03T10:48:00Z</dcterms:modified>
</cp:coreProperties>
</file>