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B4A" w:rsidRPr="00886514" w:rsidRDefault="009E7B4A" w:rsidP="009E7B4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1.627, de 08 de abril de 2020.</w:t>
      </w:r>
    </w:p>
    <w:p w:rsidR="009E7B4A" w:rsidRPr="00CB54FF" w:rsidRDefault="009E7B4A" w:rsidP="009E7B4A">
      <w:pPr>
        <w:spacing w:line="360" w:lineRule="auto"/>
        <w:ind w:left="3540"/>
        <w:jc w:val="both"/>
        <w:rPr>
          <w:rFonts w:ascii="Times New Roman" w:eastAsia="Calibri" w:hAnsi="Times New Roman"/>
          <w:b/>
          <w:bCs/>
          <w:i/>
          <w:iCs/>
          <w:sz w:val="24"/>
          <w:szCs w:val="24"/>
        </w:rPr>
      </w:pPr>
      <w:r w:rsidRPr="00CB54FF">
        <w:rPr>
          <w:rFonts w:ascii="Times New Roman" w:eastAsia="Calibri" w:hAnsi="Times New Roman"/>
          <w:b/>
          <w:bCs/>
          <w:i/>
          <w:iCs/>
          <w:sz w:val="24"/>
          <w:szCs w:val="24"/>
        </w:rPr>
        <w:t>“Dispõe sobre a obrigatoriedade de colocação e disponibilização de equipamentos ou recipientes com álcool em gel por parte de estabelecimentos públicos</w:t>
      </w:r>
      <w:r w:rsidRPr="00CB54FF">
        <w:rPr>
          <w:rFonts w:ascii="Times New Roman" w:eastAsia="Calibri" w:hAnsi="Times New Roman"/>
          <w:b/>
          <w:i/>
          <w:sz w:val="24"/>
          <w:szCs w:val="24"/>
        </w:rPr>
        <w:t xml:space="preserve">, </w:t>
      </w:r>
      <w:r w:rsidRPr="00CB54FF">
        <w:rPr>
          <w:rFonts w:ascii="Times New Roman" w:eastAsia="Calibri" w:hAnsi="Times New Roman"/>
          <w:b/>
          <w:bCs/>
          <w:i/>
          <w:iCs/>
          <w:sz w:val="24"/>
          <w:szCs w:val="24"/>
        </w:rPr>
        <w:t>privados e dá outras providências.”</w:t>
      </w:r>
    </w:p>
    <w:p w:rsidR="009E7B4A" w:rsidRDefault="009E7B4A" w:rsidP="009E7B4A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9E7B4A" w:rsidRPr="001E2EA3" w:rsidRDefault="009E7B4A" w:rsidP="009E7B4A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9E7B4A" w:rsidRPr="00C473FD" w:rsidRDefault="009E7B4A" w:rsidP="009E7B4A">
      <w:pPr>
        <w:pStyle w:val="Textbody"/>
        <w:spacing w:after="0" w:line="360" w:lineRule="auto"/>
        <w:jc w:val="both"/>
        <w:rPr>
          <w:rFonts w:cs="Times New Roman"/>
        </w:rPr>
      </w:pPr>
      <w:r w:rsidRPr="00C473FD">
        <w:rPr>
          <w:rFonts w:cs="Times New Roman"/>
          <w:b/>
        </w:rPr>
        <w:t>Art. 1º.</w:t>
      </w:r>
      <w:r w:rsidRPr="00C473FD">
        <w:rPr>
          <w:rFonts w:cs="Times New Roman"/>
        </w:rPr>
        <w:t xml:space="preserve"> </w:t>
      </w:r>
      <w:r w:rsidRPr="00C473FD">
        <w:rPr>
          <w:rFonts w:cs="Times New Roman"/>
          <w:shd w:val="clear" w:color="auto" w:fill="FFFFFF"/>
        </w:rPr>
        <w:t>Os estabelecimentos públicos e privados ficam obrigados a instalar e disponibilizar equipamentos ou recipientes com álcool em gel em locais onde haja aglomeração de pessoas.</w:t>
      </w: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</w:rPr>
      </w:pPr>
      <w:r w:rsidRPr="00C473FD">
        <w:rPr>
          <w:rFonts w:cs="Times New Roman"/>
        </w:rPr>
        <w:t>Parágrafo único. O álcool em gel deve possuir em sua composição química a concentração de 70 % (setenta por cento).</w:t>
      </w:r>
    </w:p>
    <w:p w:rsidR="009E7B4A" w:rsidRPr="00C473FD" w:rsidRDefault="009E7B4A" w:rsidP="009E7B4A">
      <w:pPr>
        <w:pStyle w:val="Textbody"/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</w:rPr>
        <w:t>Art. 2º.</w:t>
      </w:r>
      <w:r w:rsidRPr="00C473FD">
        <w:rPr>
          <w:rFonts w:cs="Times New Roman"/>
        </w:rPr>
        <w:t xml:space="preserve">  </w:t>
      </w:r>
      <w:r w:rsidRPr="00C473FD">
        <w:rPr>
          <w:rFonts w:cs="Times New Roman"/>
          <w:shd w:val="clear" w:color="auto" w:fill="FFFFFF"/>
        </w:rPr>
        <w:t>Constituem estabelecimentos privados e públicos, dentre outros: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Agencias Bancarias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Casas Lotéricas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Escolas e Creches Municipais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Escritórios de Profissionais Autônomos</w:t>
      </w:r>
      <w:r>
        <w:rPr>
          <w:rFonts w:cs="Times New Roman"/>
          <w:shd w:val="clear" w:color="auto" w:fill="FFFFFF"/>
        </w:rPr>
        <w:t>;</w:t>
      </w:r>
    </w:p>
    <w:p w:rsidR="009E7B4A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 xml:space="preserve">Estabelecimentos </w:t>
      </w:r>
      <w:r>
        <w:rPr>
          <w:rFonts w:cs="Times New Roman"/>
          <w:shd w:val="clear" w:color="auto" w:fill="FFFFFF"/>
        </w:rPr>
        <w:t>C</w:t>
      </w:r>
      <w:r w:rsidRPr="00C473FD">
        <w:rPr>
          <w:rFonts w:cs="Times New Roman"/>
          <w:shd w:val="clear" w:color="auto" w:fill="FFFFFF"/>
        </w:rPr>
        <w:t xml:space="preserve">omerciais em </w:t>
      </w:r>
      <w:r>
        <w:rPr>
          <w:rFonts w:cs="Times New Roman"/>
          <w:shd w:val="clear" w:color="auto" w:fill="FFFFFF"/>
        </w:rPr>
        <w:t>G</w:t>
      </w:r>
      <w:r w:rsidRPr="00C473FD">
        <w:rPr>
          <w:rFonts w:cs="Times New Roman"/>
          <w:shd w:val="clear" w:color="auto" w:fill="FFFFFF"/>
        </w:rPr>
        <w:t>eral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Food Trucks;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Hospitais, Clínicas e Similares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Hotéis</w:t>
      </w:r>
      <w:r>
        <w:rPr>
          <w:rFonts w:cs="Times New Roman"/>
          <w:shd w:val="clear" w:color="auto" w:fill="FFFFFF"/>
        </w:rPr>
        <w:t xml:space="preserve"> e Similares;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 xml:space="preserve">Prédios públicos onde funcionam órgãos da Administração Municipal, com atendimento </w:t>
      </w:r>
      <w:r>
        <w:rPr>
          <w:rFonts w:cs="Times New Roman"/>
          <w:shd w:val="clear" w:color="auto" w:fill="FFFFFF"/>
        </w:rPr>
        <w:t>ao</w:t>
      </w:r>
      <w:r w:rsidRPr="00C473FD">
        <w:rPr>
          <w:rFonts w:cs="Times New Roman"/>
          <w:shd w:val="clear" w:color="auto" w:fill="FFFFFF"/>
        </w:rPr>
        <w:t xml:space="preserve"> público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Recinto de Exposição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Restaurantes e Similares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Shopping Centers</w:t>
      </w:r>
      <w:r>
        <w:rPr>
          <w:rFonts w:cs="Times New Roman"/>
          <w:shd w:val="clear" w:color="auto" w:fill="FFFFFF"/>
        </w:rPr>
        <w:t>;</w:t>
      </w:r>
    </w:p>
    <w:p w:rsidR="009E7B4A" w:rsidRPr="00C473FD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Supermercados e Hipermercados</w:t>
      </w:r>
      <w:r>
        <w:rPr>
          <w:rFonts w:cs="Times New Roman"/>
          <w:shd w:val="clear" w:color="auto" w:fill="FFFFFF"/>
        </w:rPr>
        <w:t>;</w:t>
      </w:r>
    </w:p>
    <w:p w:rsidR="009E7B4A" w:rsidRDefault="009E7B4A" w:rsidP="009E7B4A">
      <w:pPr>
        <w:pStyle w:val="Textbody"/>
        <w:numPr>
          <w:ilvl w:val="0"/>
          <w:numId w:val="2"/>
        </w:numPr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shd w:val="clear" w:color="auto" w:fill="FFFFFF"/>
        </w:rPr>
        <w:t>Unidades Básica</w:t>
      </w:r>
      <w:r>
        <w:rPr>
          <w:rFonts w:cs="Times New Roman"/>
          <w:shd w:val="clear" w:color="auto" w:fill="FFFFFF"/>
        </w:rPr>
        <w:t>s</w:t>
      </w:r>
      <w:r w:rsidRPr="00C473FD">
        <w:rPr>
          <w:rFonts w:cs="Times New Roman"/>
          <w:shd w:val="clear" w:color="auto" w:fill="FFFFFF"/>
        </w:rPr>
        <w:t xml:space="preserve"> e Postos de Saúde</w:t>
      </w:r>
      <w:r>
        <w:rPr>
          <w:rFonts w:cs="Times New Roman"/>
          <w:shd w:val="clear" w:color="auto" w:fill="FFFFFF"/>
        </w:rPr>
        <w:t>.</w:t>
      </w:r>
    </w:p>
    <w:p w:rsidR="009E7B4A" w:rsidRDefault="009E7B4A" w:rsidP="009E7B4A">
      <w:pPr>
        <w:pStyle w:val="Textbody"/>
        <w:spacing w:after="0" w:line="360" w:lineRule="auto"/>
        <w:ind w:left="360"/>
        <w:jc w:val="both"/>
        <w:rPr>
          <w:rFonts w:cs="Times New Roman"/>
          <w:shd w:val="clear" w:color="auto" w:fill="FFFFFF"/>
        </w:rPr>
      </w:pPr>
    </w:p>
    <w:p w:rsidR="009E7B4A" w:rsidRPr="00D635D1" w:rsidRDefault="009E7B4A" w:rsidP="009E7B4A">
      <w:pPr>
        <w:pStyle w:val="Textbody"/>
        <w:spacing w:after="0" w:line="360" w:lineRule="auto"/>
        <w:ind w:left="360"/>
        <w:jc w:val="both"/>
        <w:rPr>
          <w:rFonts w:cs="Times New Roman"/>
          <w:shd w:val="clear" w:color="auto" w:fill="FFFFFF"/>
        </w:rPr>
      </w:pP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</w:rPr>
        <w:t xml:space="preserve">Art. </w:t>
      </w:r>
      <w:r>
        <w:rPr>
          <w:rFonts w:cs="Times New Roman"/>
          <w:b/>
        </w:rPr>
        <w:t>3</w:t>
      </w:r>
      <w:r w:rsidRPr="00C473FD">
        <w:rPr>
          <w:rFonts w:cs="Times New Roman"/>
          <w:b/>
        </w:rPr>
        <w:t>º.</w:t>
      </w:r>
      <w:r w:rsidRPr="00C473FD">
        <w:rPr>
          <w:rFonts w:cs="Times New Roman"/>
        </w:rPr>
        <w:t xml:space="preserve">  </w:t>
      </w:r>
      <w:r w:rsidRPr="00C473FD">
        <w:rPr>
          <w:rFonts w:cs="Times New Roman"/>
          <w:shd w:val="clear" w:color="auto" w:fill="FFFFFF"/>
        </w:rPr>
        <w:t>O local onde ficará instalado o equipamento ou recipiente deverá ser de fácil acesso ao público, bem como devidamente sinalizado com placa indicativa.</w:t>
      </w:r>
    </w:p>
    <w:p w:rsidR="009E7B4A" w:rsidRPr="00C473FD" w:rsidRDefault="009E7B4A" w:rsidP="009E7B4A">
      <w:pPr>
        <w:pStyle w:val="Textbody"/>
        <w:spacing w:after="0"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</w:rPr>
        <w:t xml:space="preserve">Art. </w:t>
      </w:r>
      <w:r>
        <w:rPr>
          <w:rFonts w:cs="Times New Roman"/>
          <w:b/>
        </w:rPr>
        <w:t>4</w:t>
      </w:r>
      <w:r w:rsidRPr="00C473FD">
        <w:rPr>
          <w:rFonts w:cs="Times New Roman"/>
          <w:b/>
        </w:rPr>
        <w:t>º.</w:t>
      </w:r>
      <w:r w:rsidRPr="00C473FD">
        <w:rPr>
          <w:rFonts w:cs="Times New Roman"/>
        </w:rPr>
        <w:t xml:space="preserve"> </w:t>
      </w:r>
      <w:r w:rsidRPr="00C473FD">
        <w:rPr>
          <w:rFonts w:cs="Times New Roman"/>
          <w:shd w:val="clear" w:color="auto" w:fill="FFFFFF"/>
        </w:rPr>
        <w:t>O não cumprimento das especificações contidas na presente Lei, no caso de estabelecimento privado a multa aplicada será no valor de 300,00 (trezentos reais).</w:t>
      </w: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  <w:bCs/>
          <w:shd w:val="clear" w:color="auto" w:fill="FFFFFF"/>
        </w:rPr>
        <w:t>Parágrafo 1º</w:t>
      </w:r>
      <w:r>
        <w:rPr>
          <w:rFonts w:cs="Times New Roman"/>
          <w:b/>
          <w:bCs/>
          <w:shd w:val="clear" w:color="auto" w:fill="FFFFFF"/>
        </w:rPr>
        <w:t xml:space="preserve">. </w:t>
      </w:r>
      <w:r w:rsidRPr="00C473FD">
        <w:rPr>
          <w:rFonts w:cs="Times New Roman"/>
          <w:shd w:val="clear" w:color="auto" w:fill="FFFFFF"/>
        </w:rPr>
        <w:t xml:space="preserve"> A multa estipulada no "caput" deste artigo será aplicada em dobro, no caso de reincidência.</w:t>
      </w: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  <w:bCs/>
          <w:shd w:val="clear" w:color="auto" w:fill="FFFFFF"/>
        </w:rPr>
        <w:t>Parágrafo 2º</w:t>
      </w:r>
      <w:r>
        <w:rPr>
          <w:rFonts w:cs="Times New Roman"/>
          <w:b/>
          <w:bCs/>
          <w:shd w:val="clear" w:color="auto" w:fill="FFFFFF"/>
        </w:rPr>
        <w:t xml:space="preserve">. </w:t>
      </w:r>
      <w:r w:rsidRPr="00C473FD"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 xml:space="preserve">Serão </w:t>
      </w:r>
      <w:r w:rsidRPr="00C473FD">
        <w:rPr>
          <w:rFonts w:cs="Times New Roman"/>
          <w:shd w:val="clear" w:color="auto" w:fill="FFFFFF"/>
        </w:rPr>
        <w:t>aplicadas</w:t>
      </w:r>
      <w:r>
        <w:rPr>
          <w:rFonts w:cs="Times New Roman"/>
          <w:shd w:val="clear" w:color="auto" w:fill="FFFFFF"/>
        </w:rPr>
        <w:t xml:space="preserve"> as penalidades </w:t>
      </w:r>
      <w:r w:rsidRPr="00C473FD">
        <w:rPr>
          <w:rFonts w:cs="Times New Roman"/>
          <w:shd w:val="clear" w:color="auto" w:fill="FFFFFF"/>
        </w:rPr>
        <w:t>previstas na legislação vige</w:t>
      </w:r>
      <w:r>
        <w:rPr>
          <w:rFonts w:cs="Times New Roman"/>
          <w:shd w:val="clear" w:color="auto" w:fill="FFFFFF"/>
        </w:rPr>
        <w:t>nte aos representantes</w:t>
      </w:r>
      <w:r w:rsidRPr="00C473FD"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 xml:space="preserve">dos </w:t>
      </w:r>
      <w:r w:rsidRPr="00C473FD">
        <w:rPr>
          <w:rFonts w:cs="Times New Roman"/>
          <w:shd w:val="clear" w:color="auto" w:fill="FFFFFF"/>
        </w:rPr>
        <w:t>Órgãos Públicos da Administração Municipal</w:t>
      </w:r>
      <w:r>
        <w:rPr>
          <w:rFonts w:cs="Times New Roman"/>
          <w:shd w:val="clear" w:color="auto" w:fill="FFFFFF"/>
        </w:rPr>
        <w:t xml:space="preserve"> que não cumprirem as determinações descritas na presente Lei.</w:t>
      </w:r>
    </w:p>
    <w:p w:rsidR="009E7B4A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  <w:bCs/>
          <w:shd w:val="clear" w:color="auto" w:fill="FFFFFF"/>
        </w:rPr>
        <w:t>Parágrafo 3º</w:t>
      </w:r>
      <w:r>
        <w:rPr>
          <w:rFonts w:cs="Times New Roman"/>
          <w:b/>
          <w:bCs/>
          <w:shd w:val="clear" w:color="auto" w:fill="FFFFFF"/>
        </w:rPr>
        <w:t xml:space="preserve">. </w:t>
      </w:r>
      <w:r w:rsidRPr="00C473FD">
        <w:rPr>
          <w:rFonts w:cs="Times New Roman"/>
          <w:shd w:val="clear" w:color="auto" w:fill="FFFFFF"/>
        </w:rPr>
        <w:t xml:space="preserve"> O estabelecimento privado persistindo em não cumprir à presente Lei e sendo reincidente, estará sujeito à suspensão do alvará de funcionamento, até a adequação nas vedações e obrigações descritas.</w:t>
      </w: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890454">
        <w:rPr>
          <w:rFonts w:cs="Times New Roman"/>
          <w:b/>
          <w:shd w:val="clear" w:color="auto" w:fill="FFFFFF"/>
        </w:rPr>
        <w:t>Parágrafo 4º</w:t>
      </w:r>
      <w:r>
        <w:rPr>
          <w:rFonts w:cs="Times New Roman"/>
          <w:b/>
          <w:shd w:val="clear" w:color="auto" w:fill="FFFFFF"/>
        </w:rPr>
        <w:t xml:space="preserve">. </w:t>
      </w:r>
      <w:r>
        <w:rPr>
          <w:rFonts w:cs="Times New Roman"/>
          <w:shd w:val="clear" w:color="auto" w:fill="FFFFFF"/>
        </w:rPr>
        <w:t xml:space="preserve"> Para incidência da multa descrita no caput deste artigo deverá o setor responsável comunicar os estabelecimentos descritos no art. 2º desta lei sobre a obrigatoriedade nela prevista, sob pena de nulidade da sanção aplicada.</w:t>
      </w:r>
    </w:p>
    <w:p w:rsidR="009E7B4A" w:rsidRPr="00C473FD" w:rsidRDefault="009E7B4A" w:rsidP="009E7B4A">
      <w:pPr>
        <w:pStyle w:val="Textbody"/>
        <w:spacing w:line="360" w:lineRule="auto"/>
        <w:jc w:val="both"/>
        <w:rPr>
          <w:rFonts w:cs="Times New Roman"/>
          <w:shd w:val="clear" w:color="auto" w:fill="FFFFFF"/>
        </w:rPr>
      </w:pPr>
      <w:r w:rsidRPr="00C473FD">
        <w:rPr>
          <w:rFonts w:cs="Times New Roman"/>
          <w:b/>
        </w:rPr>
        <w:t xml:space="preserve">Art. </w:t>
      </w:r>
      <w:r>
        <w:rPr>
          <w:rFonts w:cs="Times New Roman"/>
          <w:b/>
        </w:rPr>
        <w:t>5</w:t>
      </w:r>
      <w:r w:rsidRPr="00C473FD">
        <w:rPr>
          <w:rFonts w:cs="Times New Roman"/>
          <w:b/>
        </w:rPr>
        <w:t>º.</w:t>
      </w:r>
      <w:r w:rsidRPr="00C473FD">
        <w:rPr>
          <w:rFonts w:cs="Times New Roman"/>
        </w:rPr>
        <w:t xml:space="preserve"> </w:t>
      </w:r>
      <w:r w:rsidRPr="00C473FD">
        <w:rPr>
          <w:rFonts w:cs="Times New Roman"/>
          <w:shd w:val="clear" w:color="auto" w:fill="FFFFFF"/>
        </w:rPr>
        <w:t>Caberá a Secretaria Municipal da Saúde em conjunto com a Secretária Municipal de Fazenda, a fiscalização e a execução da presente Lei.</w:t>
      </w:r>
    </w:p>
    <w:p w:rsidR="009E7B4A" w:rsidRPr="00C473FD" w:rsidRDefault="009E7B4A" w:rsidP="009E7B4A">
      <w:pPr>
        <w:pStyle w:val="Textbody"/>
        <w:spacing w:after="0" w:line="360" w:lineRule="auto"/>
        <w:jc w:val="both"/>
        <w:rPr>
          <w:rFonts w:cs="Times New Roman"/>
        </w:rPr>
      </w:pPr>
      <w:r>
        <w:rPr>
          <w:rFonts w:cs="Times New Roman"/>
          <w:b/>
        </w:rPr>
        <w:t xml:space="preserve">Art. 6º. </w:t>
      </w:r>
      <w:r w:rsidRPr="00C473FD">
        <w:rPr>
          <w:rFonts w:cs="Times New Roman"/>
        </w:rPr>
        <w:t>A presente Lei entra em vigor na data da sua publicação.</w:t>
      </w:r>
    </w:p>
    <w:p w:rsidR="009E7B4A" w:rsidRDefault="009E7B4A" w:rsidP="009E7B4A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color w:val="000000"/>
          <w:sz w:val="28"/>
          <w:lang w:eastAsia="pt-BR"/>
        </w:rPr>
        <w:t> </w:t>
      </w:r>
    </w:p>
    <w:p w:rsidR="009E7B4A" w:rsidRDefault="009E7B4A" w:rsidP="009E7B4A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/>
          <w:color w:val="000000"/>
          <w:lang w:eastAsia="pt-BR"/>
        </w:rPr>
      </w:pPr>
      <w:r>
        <w:rPr>
          <w:rFonts w:ascii="Times New Roman" w:hAnsi="Times New Roman"/>
          <w:color w:val="000000"/>
          <w:sz w:val="20"/>
          <w:szCs w:val="20"/>
          <w:lang w:eastAsia="pt-BR"/>
        </w:rPr>
        <w:t> </w:t>
      </w:r>
    </w:p>
    <w:p w:rsidR="009E7B4A" w:rsidRDefault="009E7B4A" w:rsidP="009E7B4A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9E7B4A" w:rsidRDefault="009E7B4A" w:rsidP="009E7B4A"/>
    <w:p w:rsidR="009E7B4A" w:rsidRPr="00B96C1F" w:rsidRDefault="009E7B4A" w:rsidP="009E7B4A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 xml:space="preserve">08 </w:t>
      </w:r>
      <w:r w:rsidRPr="00B96C1F">
        <w:rPr>
          <w:rFonts w:ascii="Times New Roman" w:hAnsi="Times New Roman"/>
          <w:color w:val="000000"/>
          <w:sz w:val="24"/>
          <w:szCs w:val="24"/>
        </w:rPr>
        <w:t xml:space="preserve">de </w:t>
      </w:r>
      <w:r>
        <w:rPr>
          <w:rFonts w:ascii="Times New Roman" w:hAnsi="Times New Roman"/>
          <w:color w:val="000000"/>
          <w:sz w:val="24"/>
          <w:szCs w:val="24"/>
        </w:rPr>
        <w:t xml:space="preserve">abril </w:t>
      </w:r>
      <w:r w:rsidRPr="00B96C1F">
        <w:rPr>
          <w:rFonts w:ascii="Times New Roman" w:hAnsi="Times New Roman"/>
          <w:color w:val="000000"/>
          <w:sz w:val="24"/>
          <w:szCs w:val="24"/>
        </w:rPr>
        <w:t>de 2020.</w:t>
      </w:r>
    </w:p>
    <w:p w:rsidR="009E7B4A" w:rsidRPr="00B96C1F" w:rsidRDefault="009E7B4A" w:rsidP="009E7B4A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E7B4A" w:rsidRPr="00B96C1F" w:rsidRDefault="009E7B4A" w:rsidP="009E7B4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9E7B4A" w:rsidRDefault="009E7B4A" w:rsidP="009E7B4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t>Prefeito Municipa</w:t>
      </w:r>
      <w:r>
        <w:rPr>
          <w:rFonts w:ascii="Times New Roman" w:hAnsi="Times New Roman"/>
          <w:bCs/>
          <w:color w:val="000000"/>
          <w:sz w:val="24"/>
          <w:szCs w:val="24"/>
        </w:rPr>
        <w:t>l</w:t>
      </w:r>
    </w:p>
    <w:p w:rsidR="005D2830" w:rsidRPr="00FE01BF" w:rsidRDefault="005D2830" w:rsidP="00FE01B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5D2830" w:rsidRPr="00FE01BF" w:rsidSect="009E7B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9F9" w:rsidRDefault="009A79F9" w:rsidP="00481D1B">
      <w:pPr>
        <w:spacing w:after="0" w:line="240" w:lineRule="auto"/>
      </w:pPr>
      <w:r>
        <w:separator/>
      </w:r>
    </w:p>
  </w:endnote>
  <w:endnote w:type="continuationSeparator" w:id="1">
    <w:p w:rsidR="009A79F9" w:rsidRDefault="009A79F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9F9" w:rsidRDefault="009A79F9" w:rsidP="00481D1B">
      <w:pPr>
        <w:spacing w:after="0" w:line="240" w:lineRule="auto"/>
      </w:pPr>
      <w:r>
        <w:separator/>
      </w:r>
    </w:p>
  </w:footnote>
  <w:footnote w:type="continuationSeparator" w:id="1">
    <w:p w:rsidR="009A79F9" w:rsidRDefault="009A79F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C44BF6"/>
    <w:multiLevelType w:val="hybridMultilevel"/>
    <w:tmpl w:val="E0C808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941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61A69"/>
    <w:rsid w:val="009A79F9"/>
    <w:rsid w:val="009E7B4A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  <w:rsid w:val="00FE0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FE01BF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FE01BF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extbody">
    <w:name w:val="Text body"/>
    <w:basedOn w:val="Normal"/>
    <w:rsid w:val="009E7B4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2020-04-13T11:58:00Z</dcterms:created>
  <dcterms:modified xsi:type="dcterms:W3CDTF">2020-04-13T11:58:00Z</dcterms:modified>
</cp:coreProperties>
</file>