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51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MENSAGEM </w:t>
      </w:r>
      <w:r>
        <w:rPr>
          <w:rFonts w:ascii="Calibri" w:hAnsi="Calibri" w:eastAsia="Calibri" w:cs="Calibri"/>
          <w:color w:val="000000"/>
          <w:sz w:val="24"/>
          <w:szCs w:val="24"/>
        </w:rPr>
        <w:t xml:space="preserve">LEGISLATIVA</w:t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951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951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951"/>
        <w:ind w:firstLine="1418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eastAsia="Calibri" w:cs="Calibri"/>
          <w:b/>
          <w:sz w:val="24"/>
          <w:szCs w:val="24"/>
        </w:rPr>
        <w:t xml:space="preserve">Senhor Presidente;</w:t>
      </w:r>
      <w:r>
        <w:rPr>
          <w:rFonts w:ascii="Calibri" w:hAnsi="Calibri" w:cs="Calibri"/>
          <w:b/>
          <w:sz w:val="24"/>
          <w:szCs w:val="24"/>
        </w:rPr>
      </w:r>
      <w:r>
        <w:rPr>
          <w:rFonts w:ascii="Calibri" w:hAnsi="Calibri" w:cs="Calibri"/>
          <w:b/>
          <w:sz w:val="24"/>
          <w:szCs w:val="24"/>
        </w:rPr>
      </w:r>
    </w:p>
    <w:p>
      <w:pPr>
        <w:pStyle w:val="951"/>
        <w:ind w:firstLine="1418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eastAsia="Calibri" w:cs="Calibri"/>
          <w:b/>
          <w:sz w:val="24"/>
          <w:szCs w:val="24"/>
        </w:rPr>
        <w:t xml:space="preserve">Senhores Vereadores:</w:t>
      </w:r>
      <w:r>
        <w:rPr>
          <w:rFonts w:ascii="Calibri" w:hAnsi="Calibri" w:cs="Calibri"/>
          <w:b/>
          <w:sz w:val="24"/>
          <w:szCs w:val="24"/>
        </w:rPr>
      </w:r>
      <w:r>
        <w:rPr>
          <w:rFonts w:ascii="Calibri" w:hAnsi="Calibri" w:cs="Calibri"/>
          <w:b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b/>
          <w:sz w:val="24"/>
          <w:szCs w:val="24"/>
        </w:rPr>
      </w:r>
    </w:p>
    <w:p>
      <w:pPr>
        <w:pStyle w:val="951"/>
        <w:ind w:firstLine="1418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951"/>
        <w:ind w:firstLine="1418"/>
        <w:spacing w:after="240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Considerando</w:t>
      </w:r>
      <w:r>
        <w:rPr>
          <w:rFonts w:ascii="Calibri" w:hAnsi="Calibri" w:eastAsia="Calibri" w:cs="Calibri"/>
          <w:sz w:val="24"/>
          <w:szCs w:val="24"/>
        </w:rPr>
        <w:t xml:space="preserve">: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951"/>
        <w:ind w:firstLine="1418"/>
        <w:spacing w:after="240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  <w:t xml:space="preserve">O presente Projeto de Lei tem como objetivo dispor acerca da</w:t>
      </w:r>
      <w:r>
        <w:rPr>
          <w:rFonts w:ascii="Calibri" w:hAnsi="Calibri" w:eastAsia="Calibri" w:cs="Calibri"/>
          <w:sz w:val="24"/>
          <w:szCs w:val="24"/>
        </w:rPr>
        <w:t xml:space="preserve">  legislação de Gestão Democrática das Escolas Municipais de Canguçu/RS, a fim de adequá-la às normas hodiernas e às necessidades contemporâneas da gestão escolar democrática. </w:t>
      </w:r>
      <w:r/>
      <w:r>
        <w:rPr>
          <w:rFonts w:ascii="Calibri" w:hAnsi="Calibri" w:eastAsia="Calibri" w:cs="Calibri"/>
          <w:sz w:val="24"/>
          <w:szCs w:val="24"/>
        </w:rPr>
      </w:r>
    </w:p>
    <w:p>
      <w:pPr>
        <w:ind w:firstLine="1418"/>
        <w:spacing w:after="240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 Nesse contexto, a proposta em tela estabelece as diretrizes ge</w:t>
      </w:r>
      <w:r>
        <w:rPr>
          <w:rFonts w:ascii="Calibri" w:hAnsi="Calibri" w:eastAsia="Calibri" w:cs="Calibri"/>
          <w:sz w:val="24"/>
          <w:szCs w:val="24"/>
        </w:rPr>
        <w:t xml:space="preserve">rais para Gestão Pedagógica, Gestão Administrativa e Gestão Financeira sob a perspectiva democrática, além de dispor sobre os papéis de Conselhos Escolares, Diretores e Vice-Diretores, bem como sobre suas respectivas eleições. Buscando tornar a gestão das </w:t>
      </w:r>
      <w:r>
        <w:rPr>
          <w:rFonts w:ascii="Calibri" w:hAnsi="Calibri" w:eastAsia="Calibri" w:cs="Calibri"/>
          <w:sz w:val="24"/>
          <w:szCs w:val="24"/>
        </w:rPr>
        <w:t xml:space="preserve">escolas municipais ainda mais democrática, promovendo o fortalecimento do papel do Conselho Escolar e estabelecendo novos procedim</w:t>
      </w:r>
      <w:r>
        <w:rPr>
          <w:rFonts w:ascii="Calibri" w:hAnsi="Calibri" w:eastAsia="Calibri" w:cs="Calibri"/>
          <w:sz w:val="24"/>
          <w:szCs w:val="24"/>
        </w:rPr>
        <w:t xml:space="preserve">entos para a designação de Diretores e Vice-Diretores, aprimorando os mecanismos de seleção que visam a qualificar os quadros em consonância com a Base Nacional Comum de Competências do Diretor Escolar. </w:t>
      </w:r>
      <w:r>
        <w:rPr>
          <w:rFonts w:ascii="Calibri" w:hAnsi="Calibri" w:eastAsia="Calibri" w:cs="Calibri"/>
          <w:sz w:val="24"/>
          <w:szCs w:val="24"/>
        </w:rPr>
      </w:r>
    </w:p>
    <w:p>
      <w:pPr>
        <w:ind w:firstLine="1418"/>
        <w:spacing w:after="240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Assim, o Projeto de Lei busca ações satisfatórias para</w:t>
      </w:r>
      <w:r>
        <w:rPr>
          <w:rFonts w:ascii="Calibri" w:hAnsi="Calibri" w:eastAsia="Calibri" w:cs="Calibri"/>
          <w:sz w:val="24"/>
          <w:szCs w:val="24"/>
        </w:rPr>
        <w:t xml:space="preserve"> uma educação pública de qualidade e para órgãos fiscalizadores, na observância do novo arcabouço jurídico sobre a temática. Estas são, pois, as razões que justificam a presente proposição. </w:t>
      </w:r>
      <w:r/>
      <w:r/>
    </w:p>
    <w:p>
      <w:pPr>
        <w:pStyle w:val="951"/>
        <w:ind w:firstLine="1418"/>
        <w:spacing w:after="240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DIANTE do exposto, O Vereador signatário apresenta </w:t>
      </w:r>
      <w:r>
        <w:rPr>
          <w:rFonts w:ascii="Calibri" w:hAnsi="Calibri" w:eastAsia="Calibri" w:cs="Calibri"/>
          <w:sz w:val="24"/>
          <w:szCs w:val="24"/>
        </w:rPr>
        <w:t xml:space="preserve">o seguinte:</w:t>
      </w:r>
      <w:r>
        <w:rPr>
          <w:rFonts w:ascii="Calibri" w:hAnsi="Calibri" w:eastAsia="Calibri" w:cs="Calibri"/>
          <w:b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“</w:t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b/>
          <w:color w:val="000000" w:themeColor="text1"/>
          <w:sz w:val="24"/>
          <w:szCs w:val="24"/>
        </w:rPr>
      </w:r>
      <w:r>
        <w:rPr>
          <w:rFonts w:ascii="Calibri" w:hAnsi="Calibri" w:eastAsia="Calibri" w:cs="Calibri"/>
          <w:b/>
          <w:bCs/>
          <w:color w:val="000000" w:themeColor="text1"/>
          <w:sz w:val="24"/>
          <w:szCs w:val="24"/>
          <w:highlight w:val="white"/>
        </w:rPr>
        <w:t xml:space="preserve">Dispõe sobre os critérios técnicos de mérito e de desempenho e sobre a participação da comunidade escolar para designação da função de Diretor Escolar, nas Unidades de Ensino do Sistema Municipal de Educação, e dá outras providências</w:t>
      </w:r>
      <w:r/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  <w:t xml:space="preserve">”, </w:t>
      </w:r>
      <w:r>
        <w:rPr>
          <w:rFonts w:ascii="Calibri" w:hAnsi="Calibri" w:eastAsia="Calibri" w:cs="Calibri"/>
          <w:sz w:val="24"/>
          <w:szCs w:val="24"/>
        </w:rPr>
        <w:t xml:space="preserve">rogando a aquiescência dos nobres pares. </w:t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951"/>
        <w:ind w:firstLine="1418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951"/>
        <w:ind w:firstLine="1418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Sala de Sessões Joaquim de Deus Nunes</w:t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951"/>
        <w:ind w:firstLine="1418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Canguçu/RS, 10</w:t>
      </w:r>
      <w:r>
        <w:rPr>
          <w:rFonts w:ascii="Calibri" w:hAnsi="Calibri" w:eastAsia="Calibri" w:cs="Calibri"/>
          <w:sz w:val="24"/>
          <w:szCs w:val="24"/>
        </w:rPr>
        <w:t xml:space="preserve"> de novembro</w:t>
      </w:r>
      <w:r>
        <w:rPr>
          <w:rFonts w:ascii="Calibri" w:hAnsi="Calibri" w:eastAsia="Calibri" w:cs="Calibri"/>
          <w:sz w:val="24"/>
          <w:szCs w:val="24"/>
        </w:rPr>
        <w:t xml:space="preserve"> de 202</w:t>
      </w:r>
      <w:r>
        <w:rPr>
          <w:rFonts w:ascii="Calibri" w:hAnsi="Calibri" w:eastAsia="Calibri" w:cs="Calibri"/>
          <w:sz w:val="24"/>
          <w:szCs w:val="24"/>
        </w:rPr>
        <w:t xml:space="preserve">3</w:t>
      </w:r>
      <w:r>
        <w:rPr>
          <w:rFonts w:ascii="Calibri" w:hAnsi="Calibri" w:eastAsia="Calibri" w:cs="Calibri"/>
          <w:sz w:val="24"/>
          <w:szCs w:val="24"/>
        </w:rPr>
        <w:t xml:space="preserve">.</w:t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951"/>
        <w:ind w:firstLine="1418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951"/>
        <w:ind w:firstLine="1418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951"/>
        <w:ind w:firstLine="1418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951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MARCELO ROMIG MARON</w:t>
      </w:r>
      <w:r>
        <w:rPr>
          <w:rFonts w:ascii="Calibri" w:hAnsi="Calibri" w:cs="Calibri"/>
          <w:sz w:val="24"/>
          <w:szCs w:val="24"/>
        </w:rPr>
      </w:r>
    </w:p>
    <w:p>
      <w:pPr>
        <w:pStyle w:val="951"/>
        <w:jc w:val="center"/>
        <w:rPr>
          <w:rFonts w:ascii="Calibri" w:hAnsi="Calibri" w:eastAsia="Calibri" w:cs="Calibri"/>
          <w:sz w:val="24"/>
          <w:szCs w:val="24"/>
          <w:highlight w:val="none"/>
        </w:rPr>
      </w:pPr>
      <w:r>
        <w:rPr>
          <w:rFonts w:ascii="Calibri" w:hAnsi="Calibri" w:eastAsia="Calibri" w:cs="Calibri"/>
          <w:sz w:val="24"/>
          <w:szCs w:val="24"/>
        </w:rPr>
        <w:t xml:space="preserve">Vereador</w:t>
      </w:r>
      <w:r>
        <w:rPr>
          <w:rFonts w:ascii="Calibri" w:hAnsi="Calibri" w:eastAsia="Calibri" w:cs="Calibri"/>
          <w:sz w:val="24"/>
          <w:szCs w:val="24"/>
        </w:rPr>
        <w:t xml:space="preserve">/Bancada </w:t>
      </w:r>
      <w:r>
        <w:rPr>
          <w:rFonts w:ascii="Calibri" w:hAnsi="Calibri" w:eastAsia="Calibri" w:cs="Calibri"/>
          <w:sz w:val="24"/>
          <w:szCs w:val="24"/>
          <w:highlight w:val="none"/>
        </w:rPr>
      </w:r>
      <w:r>
        <w:rPr>
          <w:rFonts w:ascii="Calibri" w:hAnsi="Calibri" w:eastAsia="Calibri" w:cs="Calibri"/>
          <w:sz w:val="24"/>
          <w:szCs w:val="24"/>
          <w:highlight w:val="none"/>
        </w:rPr>
      </w:r>
    </w:p>
    <w:p>
      <w:pPr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  <w:highlight w:val="none"/>
        </w:rPr>
      </w:r>
      <w:r>
        <w:rPr>
          <w:rFonts w:ascii="Calibri" w:hAnsi="Calibri" w:eastAsia="Calibri" w:cs="Calibri"/>
          <w:sz w:val="24"/>
          <w:szCs w:val="24"/>
          <w:highlight w:val="none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951"/>
        <w:jc w:val="center"/>
        <w:spacing w:after="240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b/>
          <w:sz w:val="24"/>
          <w:szCs w:val="24"/>
        </w:rPr>
        <w:t xml:space="preserve">PROJETO DE LEI</w:t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951"/>
        <w:ind w:left="3402" w:right="0" w:firstLine="0"/>
        <w:jc w:val="both"/>
        <w:rPr>
          <w:rFonts w:ascii="Calibri" w:hAnsi="Calibri" w:cs="Calibri"/>
          <w:b/>
          <w:color w:val="000000" w:themeColor="text1"/>
          <w:sz w:val="24"/>
          <w:szCs w:val="24"/>
        </w:rPr>
      </w:pPr>
      <w:r>
        <w:rPr>
          <w:rFonts w:ascii="Calibri" w:hAnsi="Calibri" w:eastAsia="Calibri" w:cs="Calibri"/>
          <w:b/>
          <w:color w:val="000000" w:themeColor="text1"/>
          <w:sz w:val="24"/>
          <w:szCs w:val="24"/>
        </w:rPr>
        <w:t xml:space="preserve">“</w:t>
      </w:r>
      <w:r>
        <w:rPr>
          <w:rFonts w:ascii="Calibri" w:hAnsi="Calibri" w:eastAsia="Calibri" w:cs="Calibri"/>
          <w:b/>
          <w:bCs/>
          <w:color w:val="000000" w:themeColor="text1"/>
          <w:sz w:val="24"/>
          <w:szCs w:val="24"/>
          <w:highlight w:val="white"/>
        </w:rPr>
        <w:t xml:space="preserve">Dispõe sobre os critérios técnicos de mérito e de desempenho e sobre a participação da comunidade escolar para designação da função de Diretor Escolar, nas Unidades de Ensino do Sistema Municipal de Educação, e dá outras providências</w:t>
      </w:r>
      <w:r>
        <w:rPr>
          <w:rFonts w:ascii="Calibri" w:hAnsi="Calibri" w:eastAsia="Calibri" w:cs="Calibri"/>
          <w:b/>
          <w:color w:val="000000" w:themeColor="text1"/>
          <w:sz w:val="24"/>
          <w:szCs w:val="24"/>
        </w:rPr>
        <w:t xml:space="preserve">”</w:t>
      </w:r>
      <w:r>
        <w:rPr>
          <w:rFonts w:ascii="Calibri" w:hAnsi="Calibri" w:eastAsia="Calibri" w:cs="Calibri"/>
          <w:b/>
          <w:color w:val="000000" w:themeColor="text1"/>
          <w:sz w:val="24"/>
          <w:szCs w:val="24"/>
        </w:rPr>
        <w:t xml:space="preserve">.</w:t>
      </w:r>
      <w:r>
        <w:rPr>
          <w:rFonts w:ascii="Calibri" w:hAnsi="Calibri" w:cs="Calibri"/>
          <w:b/>
          <w:color w:val="000000" w:themeColor="text1"/>
          <w:sz w:val="24"/>
          <w:szCs w:val="24"/>
        </w:rPr>
      </w:r>
      <w:r>
        <w:rPr>
          <w:rFonts w:ascii="Calibri" w:hAnsi="Calibri" w:cs="Calibri"/>
          <w:b/>
          <w:color w:val="000000" w:themeColor="text1"/>
          <w:sz w:val="24"/>
          <w:szCs w:val="24"/>
        </w:rPr>
      </w:r>
    </w:p>
    <w:p>
      <w:pPr>
        <w:pStyle w:val="951"/>
        <w:ind w:firstLine="1418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951"/>
        <w:ind w:firstLine="1418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951"/>
        <w:ind w:left="0" w:right="0" w:firstLine="1417"/>
        <w:spacing w:after="240" w:line="233" w:lineRule="auto"/>
        <w:rPr>
          <w:rFonts w:ascii="Calibri" w:hAnsi="Calibri" w:cs="Calibri"/>
          <w:sz w:val="24"/>
          <w:szCs w:val="24"/>
        </w:rPr>
        <w:suppressLineNumbers w:val="0"/>
      </w:pPr>
      <w:r>
        <w:rPr>
          <w:rFonts w:ascii="Calibri" w:hAnsi="Calibri" w:eastAsia="Calibri" w:cs="Calibri"/>
          <w:b/>
          <w:sz w:val="24"/>
          <w:szCs w:val="24"/>
        </w:rPr>
        <w:t xml:space="preserve">MARCUS VINICIUS MULLER PEGORARO</w:t>
      </w:r>
      <w:r>
        <w:rPr>
          <w:rFonts w:ascii="Calibri" w:hAnsi="Calibri" w:eastAsia="Calibri" w:cs="Calibri"/>
          <w:sz w:val="24"/>
          <w:szCs w:val="24"/>
        </w:rPr>
        <w:t xml:space="preserve">, Prefeito Municipal de Canguçu, Estado do Rio Grande do Sul, no uso das atribuições que lhe são conferidas pela Lei Orgânica do Município;</w:t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951"/>
        <w:ind w:left="0" w:right="0" w:firstLine="1417"/>
        <w:spacing w:after="240" w:line="233" w:lineRule="auto"/>
        <w:rPr>
          <w:rFonts w:ascii="Calibri" w:hAnsi="Calibri" w:cs="Calibri"/>
          <w:sz w:val="24"/>
          <w:szCs w:val="24"/>
        </w:rPr>
        <w:suppressLineNumbers w:val="0"/>
      </w:pPr>
      <w:r>
        <w:rPr>
          <w:rFonts w:ascii="Calibri" w:hAnsi="Calibri" w:eastAsia="Calibri" w:cs="Calibri"/>
          <w:b/>
          <w:sz w:val="24"/>
          <w:szCs w:val="24"/>
        </w:rPr>
        <w:t xml:space="preserve">FAÇO SABER</w:t>
      </w:r>
      <w:r>
        <w:rPr>
          <w:rFonts w:ascii="Calibri" w:hAnsi="Calibri" w:eastAsia="Calibri" w:cs="Calibri"/>
          <w:sz w:val="24"/>
          <w:szCs w:val="24"/>
        </w:rPr>
        <w:t xml:space="preserve">, que a Câmara Municipal de Vereadores de Canguçu/RS, aprovou e eu sanciono a seguinte LEI:</w:t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951"/>
        <w:contextualSpacing w:val="0"/>
        <w:ind w:left="0" w:right="0" w:firstLine="1417"/>
        <w:jc w:val="both"/>
        <w:spacing w:before="0" w:after="240" w:line="233" w:lineRule="auto"/>
        <w:rPr>
          <w:rFonts w:ascii="Calibri" w:hAnsi="Calibri" w:cs="Calibri"/>
          <w:color w:val="000000" w:themeColor="text1"/>
          <w:spacing w:val="0"/>
          <w:sz w:val="24"/>
          <w:szCs w:val="24"/>
        </w:rPr>
        <w:suppressLineNumbers w:val="0"/>
      </w:pPr>
      <w:r>
        <w:rPr>
          <w:rFonts w:ascii="Calibri" w:hAnsi="Calibri" w:eastAsia="Calibri" w:cs="Calibri"/>
          <w:b/>
          <w:spacing w:val="0"/>
          <w:sz w:val="24"/>
          <w:szCs w:val="24"/>
        </w:rPr>
        <w:t xml:space="preserve">Art. 1º</w:t>
      </w:r>
      <w:r>
        <w:rPr>
          <w:rFonts w:ascii="Calibri" w:hAnsi="Calibri" w:eastAsia="Calibri" w:cs="Calibri"/>
          <w:spacing w:val="0"/>
          <w:sz w:val="24"/>
          <w:szCs w:val="24"/>
        </w:rPr>
        <w:t xml:space="preserve"> – </w:t>
      </w:r>
      <w:r>
        <w:rPr>
          <w:rFonts w:ascii="Calibri" w:hAnsi="Calibri" w:eastAsia="Calibri" w:cs="Calibri"/>
          <w:color w:val="000000" w:themeColor="text1"/>
          <w:spacing w:val="0"/>
          <w:sz w:val="23"/>
          <w:highlight w:val="none"/>
        </w:rPr>
        <w:t xml:space="preserve">Este Projeto de Lei </w:t>
      </w:r>
      <w:r>
        <w:rPr>
          <w:rFonts w:ascii="Calibri" w:hAnsi="Calibri" w:eastAsia="Calibri" w:cs="Calibri"/>
          <w:color w:val="000000" w:themeColor="text1"/>
          <w:spacing w:val="0"/>
          <w:sz w:val="23"/>
          <w:highlight w:val="white"/>
        </w:rPr>
        <w:t xml:space="preserve">dispõe sobre os critérios técnicos de mérito e de desempenho e sobre a participação da comunidade escolar para provimento da função de Diretor Escolar nas Unidades de Ensino do Sistema Municipal de Educação, com base no disposto no art. 14, §1º, inciso I, </w:t>
      </w:r>
      <w:r>
        <w:rPr>
          <w:rFonts w:ascii="Calibri" w:hAnsi="Calibri" w:eastAsia="Calibri" w:cs="Calibri"/>
          <w:color w:val="000000" w:themeColor="text1"/>
          <w:spacing w:val="0"/>
          <w:sz w:val="23"/>
          <w:highlight w:val="white"/>
        </w:rPr>
        <w:t xml:space="preserve">da Lei nº </w:t>
      </w:r>
      <w:hyperlink r:id="rId11" w:tooltip="https://www2.camara.leg.br/legin/fed/lei/2020/lei-14113-25-dezembro-2020-790952-norma-pl.html" w:history="1">
        <w:r>
          <w:rPr>
            <w:rStyle w:val="963"/>
            <w:rFonts w:ascii="Calibri" w:hAnsi="Calibri" w:eastAsia="Calibri" w:cs="Calibri"/>
            <w:color w:val="000000" w:themeColor="text1"/>
            <w:spacing w:val="0"/>
            <w:sz w:val="23"/>
            <w:highlight w:val="white"/>
            <w:u w:val="single"/>
          </w:rPr>
          <w:t xml:space="preserve">14.113</w:t>
        </w:r>
      </w:hyperlink>
      <w:r>
        <w:rPr>
          <w:rFonts w:ascii="Calibri" w:hAnsi="Calibri" w:eastAsia="Calibri" w:cs="Calibri"/>
          <w:color w:val="000000" w:themeColor="text1"/>
          <w:spacing w:val="0"/>
          <w:sz w:val="23"/>
          <w:highlight w:val="white"/>
        </w:rPr>
        <w:t xml:space="preserve">/2020 e na Resolução nº 1, de 27 de julho de 2022, da Comissão Intergovernamental de Financiamento para a Educação Básica de Qualidade.</w:t>
      </w:r>
      <w:r>
        <w:rPr>
          <w:rFonts w:ascii="Calibri" w:hAnsi="Calibri" w:eastAsia="Calibri" w:cs="Calibri"/>
          <w:color w:val="000000" w:themeColor="text1"/>
          <w:spacing w:val="0"/>
          <w:sz w:val="24"/>
          <w:szCs w:val="24"/>
        </w:rPr>
      </w:r>
      <w:r>
        <w:rPr>
          <w:rFonts w:ascii="Calibri" w:hAnsi="Calibri" w:cs="Calibri"/>
          <w:color w:val="000000" w:themeColor="text1"/>
          <w:spacing w:val="0"/>
          <w:sz w:val="24"/>
          <w:szCs w:val="24"/>
        </w:rPr>
      </w:r>
    </w:p>
    <w:p>
      <w:pPr>
        <w:pStyle w:val="951"/>
        <w:contextualSpacing w:val="0"/>
        <w:ind w:left="0" w:right="0" w:firstLine="1417"/>
        <w:jc w:val="left"/>
        <w:spacing w:before="0" w:line="233" w:lineRule="auto"/>
        <w:rPr>
          <w:rFonts w:ascii="Calibri" w:hAnsi="Calibri" w:eastAsia="Calibri" w:cs="Calibri"/>
          <w:color w:val="333333"/>
          <w:spacing w:val="0"/>
          <w:sz w:val="23"/>
          <w:szCs w:val="23"/>
          <w:highlight w:val="white"/>
          <w:shd w:val="clear" w:color="auto" w:fill="ffffff"/>
        </w:rPr>
        <w:suppressLineNumbers w:val="0"/>
      </w:pPr>
      <w:r>
        <w:rPr>
          <w:rFonts w:ascii="Calibri" w:hAnsi="Calibri" w:eastAsia="Calibri" w:cs="Calibri"/>
          <w:color w:val="333333"/>
          <w:spacing w:val="0"/>
          <w:sz w:val="23"/>
          <w:szCs w:val="23"/>
          <w:highlight w:val="white"/>
          <w:shd w:val="clear" w:color="auto" w:fill="ffffff"/>
        </w:rPr>
      </w:r>
      <w:r>
        <w:rPr>
          <w:rFonts w:ascii="Calibri" w:hAnsi="Calibri" w:eastAsia="Calibri" w:cs="Calibri"/>
          <w:b/>
          <w:spacing w:val="0"/>
          <w:sz w:val="24"/>
          <w:szCs w:val="24"/>
        </w:rPr>
        <w:t xml:space="preserve">Art. 2º</w:t>
      </w:r>
      <w:r>
        <w:rPr>
          <w:rFonts w:ascii="Calibri" w:hAnsi="Calibri" w:eastAsia="Calibri" w:cs="Calibri"/>
          <w:spacing w:val="0"/>
          <w:sz w:val="24"/>
          <w:szCs w:val="24"/>
        </w:rPr>
        <w:t xml:space="preserve"> –</w:t>
      </w:r>
      <w:r>
        <w:rPr>
          <w:rFonts w:ascii="Calibri" w:hAnsi="Calibri" w:eastAsia="Calibri" w:cs="Calibri"/>
          <w:color w:val="333333"/>
          <w:spacing w:val="0"/>
          <w:sz w:val="23"/>
          <w:highlight w:val="none"/>
        </w:rPr>
        <w:t xml:space="preserve"> </w:t>
      </w:r>
      <w:r>
        <w:rPr>
          <w:rFonts w:ascii="Calibri" w:hAnsi="Calibri" w:eastAsia="Calibri" w:cs="Calibri"/>
          <w:color w:val="000000" w:themeColor="text1"/>
          <w:spacing w:val="0"/>
          <w:sz w:val="24"/>
          <w:szCs w:val="24"/>
          <w:highlight w:val="white"/>
        </w:rPr>
        <w:t xml:space="preserve">Os gestores das escolas públicas municipais de educação básica deverão ser selecionados</w:t>
      </w:r>
      <w:r>
        <w:rPr>
          <w:rFonts w:ascii="Calibri" w:hAnsi="Calibri" w:eastAsia="Calibri" w:cs="Calibri"/>
          <w:color w:val="000000" w:themeColor="text1"/>
          <w:spacing w:val="0"/>
          <w:sz w:val="24"/>
          <w:szCs w:val="24"/>
          <w:highlight w:val="none"/>
        </w:rPr>
        <w:t xml:space="preserve"> </w:t>
      </w:r>
      <w:r>
        <w:rPr>
          <w:rFonts w:ascii="Calibri" w:hAnsi="Calibri" w:cs="Calibri"/>
          <w:i/>
          <w:color w:val="000000" w:themeColor="text1"/>
          <w:spacing w:val="0"/>
          <w:sz w:val="24"/>
          <w:szCs w:val="24"/>
          <w:shd w:val="clear" w:color="auto" w:fill="ffffff"/>
        </w:rPr>
      </w:r>
      <w:r>
        <w:rPr>
          <w:rFonts w:ascii="Calibri" w:hAnsi="Calibri" w:eastAsia="Calibri" w:cs="Calibri"/>
          <w:color w:val="000000" w:themeColor="text1"/>
          <w:spacing w:val="0"/>
          <w:sz w:val="24"/>
          <w:szCs w:val="24"/>
          <w:highlight w:val="white"/>
        </w:rPr>
        <w:t xml:space="preserve">e indicados pelo Poder Executivo, entre titulares de cargo efetivo estável na carreira do magistério </w:t>
      </w:r>
      <w:r>
        <w:rPr>
          <w:rFonts w:ascii="Calibri" w:hAnsi="Calibri" w:cs="Calibri"/>
          <w:bCs/>
          <w:i/>
          <w:color w:val="000000" w:themeColor="text1"/>
          <w:spacing w:val="0"/>
          <w:sz w:val="24"/>
          <w:szCs w:val="24"/>
        </w:rPr>
      </w:r>
      <w:r>
        <w:rPr>
          <w:rFonts w:ascii="Calibri" w:hAnsi="Calibri" w:eastAsia="Calibri" w:cs="Calibri"/>
          <w:color w:val="000000" w:themeColor="text1"/>
          <w:spacing w:val="0"/>
          <w:sz w:val="24"/>
          <w:szCs w:val="24"/>
          <w:highlight w:val="white"/>
          <w:shd w:val="clear" w:color="auto" w:fill="ffffff"/>
        </w:rPr>
      </w:r>
      <w:r>
        <w:rPr>
          <w:rFonts w:ascii="Calibri" w:hAnsi="Calibri" w:eastAsia="Calibri" w:cs="Calibri"/>
          <w:color w:val="000000" w:themeColor="text1"/>
          <w:spacing w:val="0"/>
          <w:sz w:val="24"/>
          <w:szCs w:val="24"/>
          <w:highlight w:val="white"/>
        </w:rPr>
        <w:t xml:space="preserve">público municipal, previamente aprovados em exame de certificação e</w:t>
      </w:r>
      <w:r>
        <w:rPr>
          <w:rFonts w:ascii="Calibri" w:hAnsi="Calibri" w:eastAsia="Calibri" w:cs="Calibri"/>
          <w:color w:val="000000" w:themeColor="text1"/>
          <w:spacing w:val="0"/>
          <w:sz w:val="24"/>
          <w:szCs w:val="24"/>
          <w:highlight w:val="white"/>
        </w:rPr>
        <w:t xml:space="preserve">m gestão escolar, realizado </w:t>
      </w:r>
      <w:r>
        <w:rPr>
          <w:rFonts w:ascii="Calibri" w:hAnsi="Calibri" w:eastAsia="Calibri" w:cs="Calibri"/>
          <w:color w:val="000000" w:themeColor="text1"/>
          <w:spacing w:val="0"/>
          <w:sz w:val="24"/>
          <w:szCs w:val="24"/>
          <w:highlight w:val="white"/>
        </w:rPr>
      </w:r>
      <w:r>
        <w:rPr>
          <w:rFonts w:ascii="Calibri" w:hAnsi="Calibri" w:eastAsia="Calibri" w:cs="Calibri"/>
          <w:color w:val="000000" w:themeColor="text1"/>
          <w:spacing w:val="0"/>
          <w:sz w:val="24"/>
          <w:szCs w:val="24"/>
          <w:highlight w:val="white"/>
          <w:shd w:val="clear" w:color="auto" w:fill="ffffff"/>
        </w:rPr>
      </w:r>
      <w:r>
        <w:rPr>
          <w:rFonts w:ascii="Calibri" w:hAnsi="Calibri" w:eastAsia="Calibri" w:cs="Calibri"/>
          <w:color w:val="000000" w:themeColor="text1"/>
          <w:spacing w:val="0"/>
          <w:sz w:val="24"/>
          <w:szCs w:val="24"/>
          <w:highlight w:val="white"/>
        </w:rPr>
      </w:r>
      <w:r>
        <w:rPr>
          <w:rFonts w:ascii="Calibri" w:hAnsi="Calibri" w:eastAsia="Calibri" w:cs="Calibri"/>
          <w:color w:val="000000" w:themeColor="text1"/>
          <w:spacing w:val="0"/>
          <w:sz w:val="24"/>
          <w:szCs w:val="24"/>
          <w:highlight w:val="white"/>
        </w:rPr>
        <w:t xml:space="preserve">pela Secretaria Municipal de Educação e Desporto - SMED.</w:t>
      </w:r>
      <w:r>
        <w:rPr>
          <w:rFonts w:ascii="Calibri" w:hAnsi="Calibri" w:eastAsia="Calibri" w:cs="Calibri"/>
          <w:color w:val="333333"/>
          <w:spacing w:val="0"/>
          <w:sz w:val="23"/>
          <w:highlight w:val="white"/>
        </w:rPr>
      </w:r>
      <w:r>
        <w:rPr>
          <w:rFonts w:ascii="Calibri" w:hAnsi="Calibri" w:eastAsia="Calibri" w:cs="Calibri"/>
          <w:color w:val="000000" w:themeColor="text1"/>
          <w:spacing w:val="0"/>
          <w:sz w:val="24"/>
          <w:szCs w:val="24"/>
          <w:highlight w:val="white"/>
          <w:shd w:val="clear" w:color="auto" w:fill="ffffff"/>
        </w:rPr>
      </w:r>
    </w:p>
    <w:p>
      <w:pPr>
        <w:contextualSpacing w:val="0"/>
        <w:ind w:left="1417" w:right="0" w:firstLine="0"/>
        <w:jc w:val="both"/>
        <w:spacing w:before="0" w:line="233" w:lineRule="auto"/>
        <w:rPr>
          <w:rFonts w:ascii="Calibri" w:hAnsi="Calibri" w:eastAsia="Calibri" w:cs="Calibri"/>
          <w:color w:val="000000" w:themeColor="text1"/>
          <w:spacing w:val="0"/>
          <w:sz w:val="24"/>
          <w:szCs w:val="24"/>
          <w:highlight w:val="white"/>
        </w:rPr>
        <w:suppressLineNumbers w:val="0"/>
      </w:pPr>
      <w:r>
        <w:rPr>
          <w:rFonts w:ascii="Calibri" w:hAnsi="Calibri" w:eastAsia="Calibri" w:cs="Calibri"/>
          <w:color w:val="333333"/>
          <w:spacing w:val="0"/>
          <w:sz w:val="23"/>
          <w:highlight w:val="white"/>
        </w:rPr>
        <w:br/>
        <w:br/>
      </w:r>
      <w:r>
        <w:rPr>
          <w:rFonts w:ascii="Calibri" w:hAnsi="Calibri" w:eastAsia="Calibri" w:cs="Calibri"/>
          <w:color w:val="000000" w:themeColor="text1"/>
          <w:spacing w:val="0"/>
          <w:sz w:val="23"/>
          <w:highlight w:val="white"/>
        </w:rPr>
        <w:t xml:space="preserve">§ 1º A certificação resultante da aprovação no exame referido no caput deste artigo terá              validade por 04 (quatro) anos, podendo ser renovada pela prestação reiterada do r</w:t>
      </w:r>
      <w:r>
        <w:rPr>
          <w:rFonts w:ascii="Calibri" w:hAnsi="Calibri" w:eastAsia="Calibri" w:cs="Calibri"/>
          <w:color w:val="000000" w:themeColor="text1"/>
          <w:spacing w:val="0"/>
          <w:sz w:val="23"/>
          <w:highlight w:val="white"/>
        </w:rPr>
        <w:t xml:space="preserve">eferido exame.</w:t>
        <w:br/>
        <w:br/>
        <w:t xml:space="preserve">§ 2º A Secretaria Municipal de Educação e Desporto - SMED ficará encarregada por oferecer, diretamente ou em parceria com outras instituições públicas ou privadas, aos titulares de cargo efetivo estável na carreira do magistério público mun</w:t>
      </w:r>
      <w:r>
        <w:rPr>
          <w:rFonts w:ascii="Calibri" w:hAnsi="Calibri" w:eastAsia="Calibri" w:cs="Calibri"/>
          <w:color w:val="000000" w:themeColor="text1"/>
          <w:spacing w:val="0"/>
          <w:sz w:val="23"/>
          <w:highlight w:val="white"/>
        </w:rPr>
        <w:t xml:space="preserve">icipal, aprovados em exame de certificação, que pretenderem assumir a direção escolar, cursos ou programas de formação em gestão escolar com duração mínima de 180 horas.</w:t>
      </w:r>
      <w:r>
        <w:rPr>
          <w:rFonts w:ascii="Calibri" w:hAnsi="Calibri" w:eastAsia="Calibri" w:cs="Calibri"/>
          <w:color w:val="000000" w:themeColor="text1"/>
          <w:spacing w:val="0"/>
          <w:sz w:val="24"/>
          <w:szCs w:val="24"/>
          <w:highlight w:val="white"/>
          <w:shd w:val="clear" w:color="auto" w:fill="ffffff"/>
        </w:rPr>
      </w:r>
      <w:r/>
    </w:p>
    <w:p>
      <w:pPr>
        <w:contextualSpacing w:val="0"/>
        <w:ind w:left="0" w:right="0" w:firstLine="1417"/>
        <w:jc w:val="both"/>
        <w:spacing w:before="0" w:line="233" w:lineRule="auto"/>
        <w:rPr>
          <w:rFonts w:ascii="Calibri" w:hAnsi="Calibri" w:cs="Calibri"/>
          <w:spacing w:val="0"/>
          <w:sz w:val="24"/>
          <w:szCs w:val="24"/>
        </w:rPr>
        <w:suppressLineNumbers w:val="0"/>
      </w:pPr>
      <w:r>
        <w:rPr>
          <w:rFonts w:ascii="Calibri" w:hAnsi="Calibri" w:cs="Calibri"/>
          <w:spacing w:val="0"/>
          <w:sz w:val="24"/>
          <w:szCs w:val="24"/>
        </w:rPr>
      </w:r>
      <w:r>
        <w:rPr>
          <w:rFonts w:ascii="Calibri" w:hAnsi="Calibri" w:cs="Calibri"/>
          <w:spacing w:val="0"/>
          <w:sz w:val="24"/>
          <w:szCs w:val="24"/>
        </w:rPr>
      </w:r>
    </w:p>
    <w:p>
      <w:pPr>
        <w:contextualSpacing w:val="0"/>
        <w:ind w:left="0" w:right="0" w:firstLine="1417"/>
        <w:jc w:val="both"/>
        <w:spacing w:before="0" w:line="233" w:lineRule="auto"/>
        <w:rPr>
          <w:rFonts w:ascii="Calibri" w:hAnsi="Calibri" w:cs="Calibri"/>
          <w:spacing w:val="0"/>
          <w:sz w:val="24"/>
          <w:szCs w:val="24"/>
        </w:rPr>
        <w:suppressLineNumbers w:val="0"/>
      </w:pPr>
      <w:r>
        <w:rPr>
          <w:rFonts w:ascii="Calibri" w:hAnsi="Calibri" w:cs="Calibri"/>
          <w:spacing w:val="0"/>
          <w:sz w:val="24"/>
          <w:szCs w:val="24"/>
        </w:rPr>
      </w:r>
      <w:r>
        <w:rPr>
          <w:rFonts w:ascii="Calibri" w:hAnsi="Calibri" w:cs="Calibri"/>
          <w:spacing w:val="0"/>
          <w:sz w:val="24"/>
          <w:szCs w:val="24"/>
        </w:rPr>
      </w:r>
    </w:p>
    <w:p>
      <w:pPr>
        <w:pStyle w:val="951"/>
        <w:contextualSpacing w:val="0"/>
        <w:ind w:left="0" w:right="0" w:firstLine="1417"/>
        <w:jc w:val="both"/>
        <w:spacing w:before="0" w:line="233" w:lineRule="auto"/>
        <w:rPr>
          <w:rFonts w:ascii="Calibri" w:hAnsi="Calibri" w:eastAsia="Calibri" w:cs="Calibri"/>
          <w:color w:val="000000" w:themeColor="text1"/>
          <w:spacing w:val="0"/>
          <w:sz w:val="23"/>
          <w:szCs w:val="23"/>
          <w:highlight w:val="white"/>
        </w:rPr>
        <w:suppressLineNumbers w:val="0"/>
      </w:pPr>
      <w:r>
        <w:rPr>
          <w:rFonts w:ascii="Calibri" w:hAnsi="Calibri" w:eastAsia="Calibri" w:cs="Calibri"/>
          <w:spacing w:val="0"/>
          <w:sz w:val="24"/>
          <w:szCs w:val="24"/>
        </w:rPr>
      </w:r>
      <w:r>
        <w:rPr>
          <w:rFonts w:ascii="Calibri" w:hAnsi="Calibri" w:eastAsia="Calibri" w:cs="Calibri"/>
          <w:b/>
          <w:spacing w:val="0"/>
          <w:sz w:val="24"/>
          <w:szCs w:val="24"/>
        </w:rPr>
        <w:t xml:space="preserve">Art. 3º</w:t>
      </w:r>
      <w:r>
        <w:rPr>
          <w:rFonts w:ascii="Calibri" w:hAnsi="Calibri" w:eastAsia="Calibri" w:cs="Calibri"/>
          <w:spacing w:val="0"/>
          <w:sz w:val="24"/>
          <w:szCs w:val="24"/>
        </w:rPr>
        <w:t xml:space="preserve"> –</w:t>
      </w:r>
      <w:r>
        <w:rPr>
          <w:rFonts w:ascii="Calibri" w:hAnsi="Calibri" w:eastAsia="Calibri" w:cs="Calibri"/>
          <w:color w:val="333333"/>
          <w:spacing w:val="0"/>
          <w:sz w:val="23"/>
          <w:highlight w:val="white"/>
        </w:rPr>
        <w:t xml:space="preserve"> </w:t>
      </w:r>
      <w:r>
        <w:rPr>
          <w:rFonts w:ascii="Calibri" w:hAnsi="Calibri" w:eastAsia="Calibri" w:cs="Calibri"/>
          <w:color w:val="000000" w:themeColor="text1"/>
          <w:spacing w:val="0"/>
          <w:sz w:val="23"/>
          <w:highlight w:val="white"/>
        </w:rPr>
        <w:t xml:space="preserve">Para designação da função de Diretor para as unidades de ensino da rede municipal, a   Secretaria Municipal de Educação e Desporto - SMED publicará edital com prazo para  inscrição de candidatos entre os titulares de cargo efetivo na carreira do magistério p</w:t>
      </w:r>
      <w:r>
        <w:rPr>
          <w:rFonts w:ascii="Calibri" w:hAnsi="Calibri" w:eastAsia="Calibri" w:cs="Calibri"/>
          <w:color w:val="000000" w:themeColor="text1"/>
          <w:spacing w:val="0"/>
          <w:sz w:val="23"/>
          <w:highlight w:val="white"/>
        </w:rPr>
        <w:t xml:space="preserve">úblico municipal, que apresentarão plano de gestão ao conselho escolar da respectiva unidade de ensino.</w:t>
        <w:br/>
        <w:br/>
      </w:r>
      <w:r>
        <w:rPr>
          <w:rFonts w:ascii="Calibri" w:hAnsi="Calibri" w:eastAsia="Calibri" w:cs="Calibri"/>
          <w:b/>
          <w:color w:val="000000" w:themeColor="text1"/>
          <w:spacing w:val="0"/>
          <w:sz w:val="24"/>
          <w:szCs w:val="24"/>
        </w:rPr>
        <w:t xml:space="preserve">                          Art. 4º</w:t>
      </w:r>
      <w:r>
        <w:rPr>
          <w:rFonts w:ascii="Calibri" w:hAnsi="Calibri" w:eastAsia="Calibri" w:cs="Calibri"/>
          <w:color w:val="000000" w:themeColor="text1"/>
          <w:spacing w:val="0"/>
          <w:sz w:val="24"/>
          <w:szCs w:val="24"/>
        </w:rPr>
        <w:t xml:space="preserve"> –</w:t>
      </w:r>
      <w:r>
        <w:rPr>
          <w:rFonts w:ascii="Calibri" w:hAnsi="Calibri" w:eastAsia="Calibri" w:cs="Calibri"/>
          <w:color w:val="000000" w:themeColor="text1"/>
          <w:spacing w:val="0"/>
          <w:sz w:val="23"/>
          <w:highlight w:val="none"/>
        </w:rPr>
        <w:t xml:space="preserve"> </w:t>
      </w:r>
      <w:r>
        <w:rPr>
          <w:rFonts w:ascii="Calibri" w:hAnsi="Calibri" w:eastAsia="Calibri" w:cs="Calibri"/>
          <w:color w:val="000000" w:themeColor="text1"/>
          <w:spacing w:val="0"/>
          <w:sz w:val="23"/>
          <w:highlight w:val="white"/>
        </w:rPr>
        <w:t xml:space="preserve">A Secretaria Municipal de Educação e Desporto - SMED constituirá a Comissão Coordenadora Geral do processo de seleção para provimento da função de Diretor para as unidades de ensino da rede municipal, a qual se responsabilizará pela coordenação dos exames</w:t>
      </w:r>
      <w:r>
        <w:rPr>
          <w:rFonts w:ascii="Calibri" w:hAnsi="Calibri" w:eastAsia="Calibri" w:cs="Calibri"/>
          <w:color w:val="000000" w:themeColor="text1"/>
          <w:spacing w:val="0"/>
          <w:sz w:val="23"/>
          <w:highlight w:val="white"/>
        </w:rPr>
        <w:t xml:space="preserve"> de certificação, do curso ou programa de formação em gestão escolar e orientará a constituição de Comissões Organizadoras das Consultas às Comunidades Escolares para escolha dos diretores escolares nas unidades de ensino.</w:t>
      </w:r>
      <w:r>
        <w:rPr>
          <w:rFonts w:ascii="Calibri" w:hAnsi="Calibri" w:eastAsia="Calibri" w:cs="Calibri"/>
          <w:color w:val="000000" w:themeColor="text1"/>
          <w:spacing w:val="0"/>
          <w:sz w:val="22"/>
          <w:szCs w:val="22"/>
          <w:highlight w:val="white"/>
        </w:rPr>
      </w:r>
    </w:p>
    <w:p>
      <w:pPr>
        <w:contextualSpacing w:val="0"/>
        <w:ind w:left="1417" w:right="0" w:firstLine="0"/>
        <w:jc w:val="both"/>
        <w:spacing w:before="0" w:line="233" w:lineRule="auto"/>
        <w:rPr>
          <w:rFonts w:ascii="Calibri" w:hAnsi="Calibri" w:cs="Calibri"/>
          <w:color w:val="000000" w:themeColor="text1"/>
          <w:spacing w:val="0"/>
          <w:sz w:val="22"/>
          <w:szCs w:val="22"/>
          <w:highlight w:val="none"/>
        </w:rPr>
        <w:suppressLineNumbers w:val="0"/>
      </w:pPr>
      <w:r>
        <w:rPr>
          <w:rFonts w:ascii="Calibri" w:hAnsi="Calibri" w:eastAsia="Calibri" w:cs="Calibri"/>
          <w:color w:val="000000" w:themeColor="text1"/>
          <w:spacing w:val="0"/>
          <w:sz w:val="23"/>
          <w:highlight w:val="white"/>
        </w:rPr>
        <w:br/>
      </w:r>
      <w:r>
        <w:rPr>
          <w:rFonts w:ascii="Calibri" w:hAnsi="Calibri" w:eastAsia="Calibri" w:cs="Calibri"/>
          <w:color w:val="333333"/>
          <w:spacing w:val="0"/>
          <w:sz w:val="23"/>
          <w:highlight w:val="white"/>
        </w:rPr>
        <w:br/>
        <w:t xml:space="preserve"> </w:t>
      </w:r>
      <w:r>
        <w:rPr>
          <w:rFonts w:ascii="Calibri" w:hAnsi="Calibri" w:eastAsia="Calibri" w:cs="Calibri"/>
          <w:color w:val="000000" w:themeColor="text1"/>
          <w:spacing w:val="0"/>
          <w:sz w:val="22"/>
          <w:szCs w:val="22"/>
          <w:highlight w:val="white"/>
        </w:rPr>
        <w:t xml:space="preserve">§ 1º As Comissões Organizadoras </w:t>
      </w:r>
      <w:r>
        <w:rPr>
          <w:rFonts w:ascii="Calibri" w:hAnsi="Calibri" w:eastAsia="Calibri" w:cs="Calibri"/>
          <w:color w:val="000000" w:themeColor="text1"/>
          <w:spacing w:val="0"/>
          <w:sz w:val="22"/>
          <w:szCs w:val="22"/>
          <w:highlight w:val="white"/>
        </w:rPr>
        <w:t xml:space="preserve">das Consultas às Comunidades Escolares para escolha dos diretores escolares das unidades de ensino municipais serão compostas por 2 (dois) representantes de cada segmento da comunidade escolar, escolhidos em assembleia geral convocada pelos Conselhos Escol</w:t>
      </w:r>
      <w:r>
        <w:rPr>
          <w:rFonts w:ascii="Calibri" w:hAnsi="Calibri" w:eastAsia="Calibri" w:cs="Calibri"/>
          <w:color w:val="000000" w:themeColor="text1"/>
          <w:spacing w:val="0"/>
          <w:sz w:val="22"/>
          <w:szCs w:val="22"/>
          <w:highlight w:val="white"/>
        </w:rPr>
        <w:t xml:space="preserve">ares.</w:t>
        <w:br/>
        <w:br/>
        <w:t xml:space="preserve"> § 2º A etapa consultiva nas unidades de ensino será organizada e coordenada pelas Comissões Organizadoras das Consultas às Comunidades Escolares para escolha dos diretores escolares das unidades de ensino municipais, as quais encaminharão à Secretar</w:t>
      </w:r>
      <w:r>
        <w:rPr>
          <w:rFonts w:ascii="Calibri" w:hAnsi="Calibri" w:eastAsia="Calibri" w:cs="Calibri"/>
          <w:color w:val="000000" w:themeColor="text1"/>
          <w:spacing w:val="0"/>
          <w:sz w:val="22"/>
          <w:szCs w:val="22"/>
          <w:highlight w:val="white"/>
        </w:rPr>
        <w:t xml:space="preserve">ia Municipal de Educação e Desporto - SMED os nomes dos titulares de cargo efetivo na carreira do magistério público municipal, selecionados neste processo, para indicação pela Chefe do Poder Executivo, em prazos definidos no edital publicado.</w:t>
        <w:br/>
        <w:br/>
        <w:t xml:space="preserve"> § 3º As Com</w:t>
      </w:r>
      <w:r>
        <w:rPr>
          <w:rFonts w:ascii="Calibri" w:hAnsi="Calibri" w:eastAsia="Calibri" w:cs="Calibri"/>
          <w:color w:val="000000" w:themeColor="text1"/>
          <w:spacing w:val="0"/>
          <w:sz w:val="22"/>
          <w:szCs w:val="22"/>
          <w:highlight w:val="white"/>
        </w:rPr>
        <w:t xml:space="preserve">issões Organizadoras das Consultas às Comunidades Escolares organizarão o credenciamento da comunidade escolar apta a votar, identificando-os em listagem específica, emitida a partir dos dados constantes na secretaria da escola.</w:t>
        <w:br/>
      </w:r>
      <w:r>
        <w:rPr>
          <w:rFonts w:ascii="Calibri" w:hAnsi="Calibri" w:cs="Calibri"/>
          <w:color w:val="000000" w:themeColor="text1"/>
          <w:spacing w:val="0"/>
          <w:sz w:val="22"/>
          <w:szCs w:val="22"/>
        </w:rPr>
      </w:r>
      <w:r>
        <w:rPr>
          <w:spacing w:val="0"/>
        </w:rPr>
      </w:r>
    </w:p>
    <w:p>
      <w:pPr>
        <w:contextualSpacing w:val="0"/>
        <w:ind w:left="0" w:right="0" w:firstLine="1417"/>
        <w:jc w:val="both"/>
        <w:spacing w:before="0" w:line="233" w:lineRule="auto"/>
        <w:rPr>
          <w:rFonts w:ascii="Calibri" w:hAnsi="Calibri" w:eastAsia="Calibri" w:cs="Calibri"/>
          <w:color w:val="000000" w:themeColor="text1"/>
          <w:spacing w:val="0"/>
          <w:sz w:val="22"/>
          <w:szCs w:val="22"/>
          <w:highlight w:val="white"/>
        </w:rPr>
        <w:suppressLineNumbers w:val="0"/>
      </w:pPr>
      <w:r>
        <w:rPr>
          <w:rFonts w:ascii="Calibri" w:hAnsi="Calibri" w:cs="Calibri"/>
          <w:color w:val="000000" w:themeColor="text1"/>
          <w:spacing w:val="0"/>
          <w:sz w:val="22"/>
          <w:szCs w:val="22"/>
          <w:highlight w:val="none"/>
        </w:rPr>
      </w:r>
      <w:r>
        <w:rPr>
          <w:rFonts w:ascii="Calibri" w:hAnsi="Calibri" w:cs="Calibri"/>
          <w:color w:val="000000" w:themeColor="text1"/>
          <w:spacing w:val="0"/>
          <w:sz w:val="22"/>
          <w:szCs w:val="22"/>
          <w:highlight w:val="none"/>
        </w:rPr>
      </w:r>
    </w:p>
    <w:p>
      <w:pPr>
        <w:contextualSpacing w:val="0"/>
        <w:ind w:left="0" w:right="0" w:firstLine="1417"/>
        <w:jc w:val="both"/>
        <w:spacing w:before="0" w:line="233" w:lineRule="auto"/>
        <w:rPr>
          <w:rFonts w:ascii="Calibri" w:hAnsi="Calibri" w:eastAsia="Calibri" w:cs="Calibri"/>
          <w:color w:val="000000" w:themeColor="text1"/>
          <w:spacing w:val="0"/>
          <w:sz w:val="22"/>
          <w:szCs w:val="22"/>
          <w:highlight w:val="white"/>
        </w:rPr>
        <w:suppressLineNumbers w:val="0"/>
      </w:pPr>
      <w:r>
        <w:rPr>
          <w:rFonts w:ascii="Calibri" w:hAnsi="Calibri" w:eastAsia="Calibri" w:cs="Calibri"/>
          <w:color w:val="000000" w:themeColor="text1"/>
          <w:spacing w:val="0"/>
          <w:sz w:val="22"/>
          <w:szCs w:val="22"/>
          <w:highlight w:val="white"/>
        </w:rPr>
      </w:r>
      <w:r>
        <w:rPr>
          <w:rFonts w:ascii="Calibri" w:hAnsi="Calibri" w:eastAsia="Calibri" w:cs="Calibri"/>
          <w:b/>
          <w:color w:val="000000" w:themeColor="text1"/>
          <w:spacing w:val="0"/>
          <w:sz w:val="24"/>
          <w:szCs w:val="24"/>
        </w:rPr>
        <w:t xml:space="preserve">Art. 5º</w:t>
      </w:r>
      <w:r>
        <w:rPr>
          <w:rFonts w:ascii="Calibri" w:hAnsi="Calibri" w:eastAsia="Calibri" w:cs="Calibri"/>
          <w:color w:val="000000" w:themeColor="text1"/>
          <w:spacing w:val="0"/>
          <w:sz w:val="24"/>
          <w:szCs w:val="24"/>
        </w:rPr>
        <w:t xml:space="preserve"> –</w:t>
      </w:r>
      <w:r>
        <w:rPr>
          <w:rFonts w:ascii="Calibri" w:hAnsi="Calibri" w:eastAsia="Calibri" w:cs="Calibri"/>
          <w:color w:val="000000" w:themeColor="text1"/>
          <w:spacing w:val="0"/>
          <w:sz w:val="23"/>
          <w:highlight w:val="none"/>
        </w:rPr>
        <w:t xml:space="preserve"> </w:t>
      </w:r>
      <w:r>
        <w:rPr>
          <w:rFonts w:ascii="Calibri" w:hAnsi="Calibri" w:eastAsia="Calibri" w:cs="Calibri"/>
          <w:color w:val="000000" w:themeColor="text1"/>
          <w:spacing w:val="0"/>
          <w:sz w:val="22"/>
          <w:szCs w:val="22"/>
          <w:highlight w:val="white"/>
        </w:rPr>
        <w:t xml:space="preserve">Poderá participar do processo para provimento na função de Diretor Escolar, no âmbito das escolas públicas municipais, o candidato que satisfaça os seguintes requisitos:</w:t>
      </w:r>
      <w:r>
        <w:rPr>
          <w:rFonts w:ascii="Calibri" w:hAnsi="Calibri" w:eastAsia="Calibri" w:cs="Calibri"/>
          <w:color w:val="000000" w:themeColor="text1"/>
          <w:spacing w:val="0"/>
          <w:sz w:val="22"/>
          <w:szCs w:val="22"/>
          <w:highlight w:val="white"/>
        </w:rPr>
      </w:r>
    </w:p>
    <w:p>
      <w:pPr>
        <w:contextualSpacing/>
        <w:ind w:left="0" w:right="0" w:firstLine="1417"/>
        <w:jc w:val="both"/>
        <w:spacing w:before="0" w:beforeAutospacing="1" w:after="0" w:afterAutospacing="1" w:line="240" w:lineRule="auto"/>
        <w:rPr>
          <w:rFonts w:ascii="Calibri" w:hAnsi="Calibri" w:eastAsia="Calibri" w:cs="Calibri"/>
          <w:color w:val="000000" w:themeColor="text1"/>
          <w:spacing w:val="0"/>
          <w:sz w:val="22"/>
          <w:szCs w:val="22"/>
          <w:highlight w:val="white"/>
        </w:rPr>
        <w:suppressLineNumbers w:val="0"/>
      </w:pPr>
      <w:r>
        <w:rPr>
          <w:rFonts w:ascii="Calibri" w:hAnsi="Calibri" w:eastAsia="Calibri" w:cs="Calibri"/>
          <w:spacing w:val="0"/>
          <w:sz w:val="22"/>
          <w:szCs w:val="22"/>
          <w:highlight w:val="none"/>
        </w:rPr>
      </w:r>
      <w:r>
        <w:rPr>
          <w:rFonts w:ascii="Calibri" w:hAnsi="Calibri" w:eastAsia="Calibri" w:cs="Calibri"/>
          <w:spacing w:val="0"/>
          <w:sz w:val="22"/>
          <w:szCs w:val="22"/>
          <w:highlight w:val="none"/>
        </w:rPr>
      </w:r>
    </w:p>
    <w:p>
      <w:pPr>
        <w:contextualSpacing/>
        <w:ind w:left="1417" w:right="0" w:firstLine="0"/>
        <w:jc w:val="both"/>
        <w:spacing w:before="0" w:beforeAutospacing="1" w:after="0" w:afterAutospacing="1" w:line="240" w:lineRule="auto"/>
        <w:rPr>
          <w:rFonts w:ascii="Calibri" w:hAnsi="Calibri" w:eastAsia="Calibri" w:cs="Calibri"/>
          <w:color w:val="000000" w:themeColor="text1"/>
          <w:spacing w:val="0"/>
          <w:sz w:val="22"/>
          <w:szCs w:val="22"/>
          <w:highlight w:val="none"/>
        </w:rPr>
        <w:suppressLineNumbers w:val="0"/>
      </w:pPr>
      <w:r>
        <w:rPr>
          <w:rFonts w:ascii="Calibri" w:hAnsi="Calibri" w:eastAsia="Calibri" w:cs="Calibri"/>
          <w:color w:val="000000" w:themeColor="text1"/>
          <w:spacing w:val="0"/>
          <w:sz w:val="22"/>
          <w:szCs w:val="22"/>
          <w:highlight w:val="white"/>
        </w:rPr>
      </w:r>
      <w:r>
        <w:rPr>
          <w:rFonts w:ascii="Calibri" w:hAnsi="Calibri" w:eastAsia="Calibri" w:cs="Calibri"/>
          <w:color w:val="000000" w:themeColor="text1"/>
          <w:spacing w:val="0"/>
          <w:sz w:val="22"/>
          <w:szCs w:val="22"/>
          <w:highlight w:val="white"/>
        </w:rPr>
        <w:br/>
        <w:br/>
      </w:r>
      <w:r>
        <w:rPr>
          <w:rFonts w:ascii="Calibri" w:hAnsi="Calibri" w:eastAsia="Calibri" w:cs="Calibri"/>
          <w:b/>
          <w:bCs/>
          <w:spacing w:val="0"/>
          <w:sz w:val="22"/>
          <w:szCs w:val="22"/>
        </w:rPr>
        <w:t xml:space="preserve">I -</w:t>
      </w:r>
      <w:r>
        <w:rPr>
          <w:rFonts w:ascii="Calibri" w:hAnsi="Calibri" w:eastAsia="Calibri" w:cs="Calibri"/>
          <w:spacing w:val="0"/>
          <w:sz w:val="22"/>
          <w:szCs w:val="22"/>
        </w:rPr>
        <w:t xml:space="preserve"> desempenhar a atividade de docência ou de suporte pedagógico à docência de forma</w:t>
      </w:r>
      <w:r>
        <w:rPr>
          <w:rFonts w:ascii="Calibri" w:hAnsi="Calibri" w:eastAsia="Calibri" w:cs="Calibri"/>
          <w:spacing w:val="0"/>
          <w:sz w:val="22"/>
          <w:szCs w:val="22"/>
        </w:rPr>
        <w:t xml:space="preserve">         efetiva e estável no Sistema Municipal de Educação, com experiência mínima de 03 (três) anos letivos;</w:t>
        <w:br/>
        <w:br/>
      </w:r>
      <w:r>
        <w:rPr>
          <w:rFonts w:ascii="Calibri" w:hAnsi="Calibri" w:eastAsia="Calibri" w:cs="Calibri"/>
          <w:b/>
          <w:bCs/>
          <w:spacing w:val="0"/>
          <w:sz w:val="22"/>
          <w:szCs w:val="22"/>
        </w:rPr>
        <w:t xml:space="preserve">II</w:t>
      </w:r>
      <w:r>
        <w:rPr>
          <w:rFonts w:ascii="Calibri" w:hAnsi="Calibri" w:eastAsia="Calibri" w:cs="Calibri"/>
          <w:spacing w:val="0"/>
          <w:sz w:val="22"/>
          <w:szCs w:val="22"/>
        </w:rPr>
        <w:t xml:space="preserve"> - possuir formação em nível superior, em licenciatura plena ou graduação em pedagogia; ou ainda outra licenciatura com pós-graduação em Educação;</w:t>
        <w:br/>
        <w:br/>
      </w:r>
      <w:r>
        <w:rPr>
          <w:rFonts w:ascii="Calibri" w:hAnsi="Calibri" w:eastAsia="Calibri" w:cs="Calibri"/>
          <w:b/>
          <w:bCs/>
          <w:spacing w:val="0"/>
          <w:sz w:val="22"/>
          <w:szCs w:val="22"/>
        </w:rPr>
        <w:t xml:space="preserve"> II</w:t>
      </w:r>
      <w:r>
        <w:rPr>
          <w:rFonts w:ascii="Calibri" w:hAnsi="Calibri" w:eastAsia="Calibri" w:cs="Calibri"/>
          <w:b/>
          <w:bCs/>
          <w:spacing w:val="0"/>
          <w:sz w:val="22"/>
          <w:szCs w:val="22"/>
        </w:rPr>
        <w:t xml:space="preserve">I</w:t>
      </w:r>
      <w:r>
        <w:rPr>
          <w:rFonts w:ascii="Calibri" w:hAnsi="Calibri" w:eastAsia="Calibri" w:cs="Calibri"/>
          <w:spacing w:val="0"/>
          <w:sz w:val="22"/>
          <w:szCs w:val="22"/>
        </w:rPr>
        <w:t xml:space="preserve"> - comprovar aprovação em exame de certificação e a participação em curso ou programa de formação em gestão escolar, realizado sob a responsabilidade da Secretaria Municipal de Educação e Desporto.          </w:t>
        <w:br/>
        <w:br/>
      </w:r>
      <w:r>
        <w:rPr>
          <w:rFonts w:ascii="Calibri" w:hAnsi="Calibri" w:eastAsia="Calibri" w:cs="Calibri"/>
          <w:b/>
          <w:bCs/>
          <w:spacing w:val="0"/>
          <w:sz w:val="22"/>
          <w:szCs w:val="22"/>
        </w:rPr>
        <w:t xml:space="preserve"> IV</w:t>
      </w:r>
      <w:r>
        <w:rPr>
          <w:rFonts w:ascii="Calibri" w:hAnsi="Calibri" w:eastAsia="Calibri" w:cs="Calibri"/>
          <w:spacing w:val="0"/>
          <w:sz w:val="22"/>
          <w:szCs w:val="22"/>
        </w:rPr>
        <w:t xml:space="preserve"> - ter disponibilidade de trabalho de no mínimo 8 (oit</w:t>
      </w:r>
      <w:r>
        <w:rPr>
          <w:rFonts w:ascii="Calibri" w:hAnsi="Calibri" w:eastAsia="Calibri" w:cs="Calibri"/>
          <w:spacing w:val="0"/>
          <w:sz w:val="22"/>
          <w:szCs w:val="22"/>
        </w:rPr>
        <w:t xml:space="preserve">o) horas diárias;</w:t>
        <w:br/>
        <w:br/>
      </w:r>
      <w:r>
        <w:rPr>
          <w:rFonts w:ascii="Calibri" w:hAnsi="Calibri" w:eastAsia="Calibri" w:cs="Calibri"/>
          <w:b/>
          <w:bCs/>
          <w:spacing w:val="0"/>
          <w:sz w:val="22"/>
          <w:szCs w:val="22"/>
        </w:rPr>
        <w:t xml:space="preserve"> V</w:t>
      </w:r>
      <w:r>
        <w:rPr>
          <w:rFonts w:ascii="Calibri" w:hAnsi="Calibri" w:eastAsia="Calibri" w:cs="Calibri"/>
          <w:spacing w:val="0"/>
          <w:sz w:val="22"/>
          <w:szCs w:val="22"/>
        </w:rPr>
        <w:t xml:space="preserve"> - estar no exercício de atividades no Sistema Municipal de Educação;</w:t>
        <w:br/>
        <w:br/>
        <w:t xml:space="preserve"> </w:t>
      </w:r>
      <w:r>
        <w:rPr>
          <w:rFonts w:ascii="Calibri" w:hAnsi="Calibri" w:eastAsia="Calibri" w:cs="Calibri"/>
          <w:b/>
          <w:bCs/>
          <w:spacing w:val="0"/>
          <w:sz w:val="22"/>
          <w:szCs w:val="22"/>
        </w:rPr>
        <w:t xml:space="preserve">VI - </w:t>
      </w:r>
      <w:r>
        <w:rPr>
          <w:rFonts w:ascii="Calibri" w:hAnsi="Calibri" w:eastAsia="Calibri" w:cs="Calibri"/>
          <w:spacing w:val="0"/>
          <w:sz w:val="22"/>
          <w:szCs w:val="22"/>
        </w:rPr>
        <w:t xml:space="preserve">apresentar o Plano de Gestão Escolar (Pedagógico, Democrático, Administrativo e Financeiro) - PGE, dentro da realidade da unidade de ensino ou das unidades comp</w:t>
      </w:r>
      <w:r>
        <w:rPr>
          <w:rFonts w:ascii="Calibri" w:hAnsi="Calibri" w:eastAsia="Calibri" w:cs="Calibri"/>
          <w:spacing w:val="0"/>
          <w:sz w:val="22"/>
          <w:szCs w:val="22"/>
        </w:rPr>
        <w:t xml:space="preserve">artilhadas definidas pela Secretaria Municipal da Educação e Desporto - SMED, para a(s) qual(is) será designado, conforme modelo por ela disponibilizado, que definirá em ato próprio, as dimensões e os elementos mínimos obrigatórios para a elaboração do Pla</w:t>
      </w:r>
      <w:r>
        <w:rPr>
          <w:rFonts w:ascii="Calibri" w:hAnsi="Calibri" w:eastAsia="Calibri" w:cs="Calibri"/>
          <w:spacing w:val="0"/>
          <w:sz w:val="22"/>
          <w:szCs w:val="22"/>
        </w:rPr>
        <w:t xml:space="preserve">no de Gestão Escolar; ou elaborar e entregar o Plano de Desenvolvimento da Escola - PDE;</w:t>
        <w:br/>
        <w:br/>
      </w:r>
      <w:r>
        <w:rPr>
          <w:rFonts w:ascii="Calibri" w:hAnsi="Calibri" w:eastAsia="Calibri" w:cs="Calibri"/>
          <w:b/>
          <w:bCs/>
          <w:spacing w:val="0"/>
          <w:sz w:val="22"/>
          <w:szCs w:val="22"/>
        </w:rPr>
        <w:t xml:space="preserve">VII -</w:t>
      </w:r>
      <w:r>
        <w:rPr>
          <w:rFonts w:ascii="Calibri" w:hAnsi="Calibri" w:eastAsia="Calibri" w:cs="Calibri"/>
          <w:spacing w:val="0"/>
          <w:sz w:val="22"/>
          <w:szCs w:val="22"/>
        </w:rPr>
        <w:t xml:space="preserve"> no exercício da função pública, em qualquer cargo e emprego, não possuir procedimento administrativo disciplinar (PAD) transitado em julgado com condenação, nos</w:t>
      </w:r>
      <w:r>
        <w:rPr>
          <w:rFonts w:ascii="Calibri" w:hAnsi="Calibri" w:eastAsia="Calibri" w:cs="Calibri"/>
          <w:spacing w:val="0"/>
          <w:sz w:val="22"/>
          <w:szCs w:val="22"/>
        </w:rPr>
        <w:t xml:space="preserve"> últimos 05 (cinco) anos;</w:t>
        <w:br/>
        <w:br/>
      </w:r>
      <w:r>
        <w:rPr>
          <w:rFonts w:ascii="Calibri" w:hAnsi="Calibri" w:eastAsia="Calibri" w:cs="Calibri"/>
          <w:b/>
          <w:bCs/>
          <w:spacing w:val="0"/>
          <w:sz w:val="22"/>
          <w:szCs w:val="22"/>
        </w:rPr>
        <w:t xml:space="preserve">  VIII </w:t>
      </w:r>
      <w:r>
        <w:rPr>
          <w:rFonts w:ascii="Calibri" w:hAnsi="Calibri" w:eastAsia="Calibri" w:cs="Calibri"/>
          <w:spacing w:val="0"/>
          <w:sz w:val="22"/>
          <w:szCs w:val="22"/>
        </w:rPr>
        <w:t xml:space="preserve">- não possuir mais que 05 (cinco) faltas injustificadas, nos últimos 02 (dois) anos;</w:t>
      </w:r>
      <w:r>
        <w:rPr>
          <w:rFonts w:ascii="Calibri" w:hAnsi="Calibri" w:eastAsia="Calibri" w:cs="Calibri"/>
          <w:color w:val="000000" w:themeColor="text1"/>
          <w:spacing w:val="0"/>
          <w:sz w:val="22"/>
          <w:szCs w:val="22"/>
          <w:highlight w:val="white"/>
        </w:rPr>
      </w:r>
      <w:r/>
    </w:p>
    <w:p>
      <w:pPr>
        <w:contextualSpacing/>
        <w:ind w:left="0" w:right="0" w:firstLine="1417"/>
        <w:jc w:val="both"/>
        <w:spacing w:before="0" w:beforeAutospacing="1" w:after="0" w:afterAutospacing="1" w:line="240" w:lineRule="auto"/>
        <w:rPr>
          <w:rFonts w:ascii="Calibri" w:hAnsi="Calibri" w:eastAsia="Calibri" w:cs="Calibri"/>
          <w:spacing w:val="0"/>
          <w:sz w:val="22"/>
          <w:szCs w:val="22"/>
          <w:highlight w:val="none"/>
        </w:rPr>
        <w:suppressLineNumbers w:val="0"/>
      </w:pPr>
      <w:r>
        <w:rPr>
          <w:rFonts w:ascii="Calibri" w:hAnsi="Calibri" w:eastAsia="Calibri" w:cs="Calibri"/>
          <w:spacing w:val="0"/>
          <w:sz w:val="22"/>
          <w:szCs w:val="22"/>
          <w:highlight w:val="none"/>
        </w:rPr>
      </w:r>
      <w:r>
        <w:rPr>
          <w:rFonts w:ascii="Calibri" w:hAnsi="Calibri" w:eastAsia="Calibri" w:cs="Calibri"/>
          <w:spacing w:val="0"/>
          <w:sz w:val="22"/>
          <w:szCs w:val="22"/>
          <w:highlight w:val="none"/>
        </w:rPr>
      </w:r>
    </w:p>
    <w:p>
      <w:pPr>
        <w:contextualSpacing/>
        <w:ind w:left="0" w:right="0" w:firstLine="1417"/>
        <w:jc w:val="both"/>
        <w:spacing w:before="0" w:beforeAutospacing="1" w:after="0" w:afterAutospacing="1" w:line="240" w:lineRule="auto"/>
        <w:rPr>
          <w:rFonts w:ascii="Calibri" w:hAnsi="Calibri" w:eastAsia="Calibri" w:cs="Calibri"/>
          <w:spacing w:val="0"/>
          <w:sz w:val="22"/>
          <w:szCs w:val="22"/>
          <w:highlight w:val="none"/>
        </w:rPr>
        <w:suppressLineNumbers w:val="0"/>
      </w:pPr>
      <w:r>
        <w:rPr>
          <w:rFonts w:ascii="Calibri" w:hAnsi="Calibri" w:eastAsia="Calibri" w:cs="Calibri"/>
          <w:color w:val="000000" w:themeColor="text1"/>
          <w:spacing w:val="0"/>
          <w:sz w:val="22"/>
          <w:szCs w:val="22"/>
          <w:highlight w:val="none"/>
        </w:rPr>
      </w:r>
      <w:r>
        <w:rPr>
          <w:rFonts w:ascii="Calibri" w:hAnsi="Calibri" w:eastAsia="Calibri" w:cs="Calibri"/>
          <w:color w:val="000000" w:themeColor="text1"/>
          <w:spacing w:val="0"/>
          <w:sz w:val="22"/>
          <w:szCs w:val="22"/>
          <w:highlight w:val="none"/>
        </w:rPr>
      </w:r>
    </w:p>
    <w:p>
      <w:pPr>
        <w:contextualSpacing/>
        <w:ind w:left="0" w:right="0" w:firstLine="1417"/>
        <w:jc w:val="both"/>
        <w:spacing w:before="0" w:beforeAutospacing="1" w:after="0" w:afterAutospacing="1" w:line="240" w:lineRule="auto"/>
        <w:rPr>
          <w:rFonts w:ascii="Calibri" w:hAnsi="Calibri" w:eastAsia="Calibri" w:cs="Calibri"/>
          <w:color w:val="000000" w:themeColor="text1"/>
          <w:spacing w:val="0"/>
          <w:sz w:val="22"/>
          <w:szCs w:val="22"/>
          <w:highlight w:val="none"/>
        </w:rPr>
        <w:suppressLineNumbers w:val="0"/>
      </w:pPr>
      <w:r>
        <w:rPr>
          <w:rFonts w:ascii="Calibri" w:hAnsi="Calibri" w:eastAsia="Calibri" w:cs="Calibri"/>
          <w:color w:val="000000" w:themeColor="text1"/>
          <w:spacing w:val="0"/>
          <w:sz w:val="22"/>
          <w:szCs w:val="22"/>
          <w:highlight w:val="none"/>
        </w:rPr>
      </w:r>
      <w:r>
        <w:rPr>
          <w:rFonts w:ascii="Calibri" w:hAnsi="Calibri" w:eastAsia="Calibri" w:cs="Calibri"/>
          <w:color w:val="000000" w:themeColor="text1"/>
          <w:spacing w:val="0"/>
          <w:sz w:val="22"/>
          <w:szCs w:val="22"/>
          <w:highlight w:val="none"/>
        </w:rPr>
      </w:r>
    </w:p>
    <w:p>
      <w:pPr>
        <w:contextualSpacing w:val="0"/>
        <w:ind w:left="0" w:right="0" w:firstLine="1417"/>
        <w:jc w:val="both"/>
        <w:spacing w:before="0" w:after="0" w:line="283" w:lineRule="atLeast"/>
        <w:rPr>
          <w:rFonts w:ascii="Calibri" w:hAnsi="Calibri" w:eastAsia="Calibri" w:cs="Calibri"/>
          <w:color w:val="000000" w:themeColor="text1"/>
          <w:spacing w:val="0"/>
          <w:sz w:val="22"/>
          <w:szCs w:val="22"/>
          <w:highlight w:val="none"/>
        </w:rPr>
        <w:suppressLineNumbers w:val="0"/>
      </w:pPr>
      <w:r>
        <w:rPr>
          <w:rFonts w:ascii="Calibri" w:hAnsi="Calibri" w:eastAsia="Calibri" w:cs="Calibri"/>
          <w:color w:val="000000" w:themeColor="text1"/>
          <w:spacing w:val="0"/>
          <w:sz w:val="22"/>
          <w:szCs w:val="22"/>
          <w:highlight w:val="white"/>
        </w:rPr>
        <w:br/>
        <w:br/>
        <w:t xml:space="preserve">                             </w:t>
      </w:r>
      <w:r>
        <w:rPr>
          <w:rFonts w:ascii="Calibri" w:hAnsi="Calibri" w:eastAsia="Calibri" w:cs="Calibri"/>
          <w:b/>
          <w:bCs/>
          <w:color w:val="000000" w:themeColor="text1"/>
          <w:spacing w:val="0"/>
          <w:sz w:val="22"/>
          <w:szCs w:val="22"/>
          <w:highlight w:val="white"/>
        </w:rPr>
        <w:t xml:space="preserve">Parágrafo único</w:t>
      </w:r>
      <w:r>
        <w:rPr>
          <w:rFonts w:ascii="Calibri" w:hAnsi="Calibri" w:eastAsia="Calibri" w:cs="Calibri"/>
          <w:color w:val="000000" w:themeColor="text1"/>
          <w:spacing w:val="0"/>
          <w:sz w:val="22"/>
          <w:szCs w:val="22"/>
          <w:highlight w:val="white"/>
        </w:rPr>
        <w:t xml:space="preserve">. A Secretaria Municipal da Educação e Desporto - SMED regulamentará, em ato próprio, os procedimentos necessários ao cumpr</w:t>
      </w:r>
      <w:r>
        <w:rPr>
          <w:rFonts w:ascii="Calibri" w:hAnsi="Calibri" w:eastAsia="Calibri" w:cs="Calibri"/>
          <w:color w:val="000000" w:themeColor="text1"/>
          <w:spacing w:val="0"/>
          <w:sz w:val="22"/>
          <w:szCs w:val="22"/>
          <w:highlight w:val="white"/>
        </w:rPr>
        <w:t xml:space="preserve">imento do disposto neste artigo, tal como documentação necessária, prazos de entrega, dentre outras providências.</w:t>
      </w:r>
      <w:r>
        <w:rPr>
          <w:rFonts w:ascii="Calibri" w:hAnsi="Calibri" w:eastAsia="Calibri" w:cs="Calibri"/>
          <w:color w:val="000000" w:themeColor="text1"/>
          <w:spacing w:val="0"/>
          <w:sz w:val="22"/>
          <w:szCs w:val="22"/>
          <w:highlight w:val="none"/>
        </w:rPr>
      </w:r>
      <w:r>
        <w:rPr>
          <w:rFonts w:ascii="Calibri" w:hAnsi="Calibri" w:eastAsia="Calibri" w:cs="Calibri"/>
          <w:color w:val="000000" w:themeColor="text1"/>
          <w:spacing w:val="0"/>
          <w:sz w:val="22"/>
          <w:szCs w:val="22"/>
          <w:highlight w:val="white"/>
        </w:rPr>
        <w:br/>
        <w:br/>
      </w:r>
      <w:r>
        <w:rPr>
          <w:rFonts w:ascii="Calibri" w:hAnsi="Calibri" w:eastAsia="Calibri" w:cs="Calibri"/>
          <w:b/>
          <w:color w:val="000000" w:themeColor="text1"/>
          <w:spacing w:val="0"/>
          <w:sz w:val="24"/>
          <w:szCs w:val="24"/>
        </w:rPr>
        <w:t xml:space="preserve">                         Art. 6º</w:t>
      </w:r>
      <w:r>
        <w:rPr>
          <w:rFonts w:ascii="Calibri" w:hAnsi="Calibri" w:eastAsia="Calibri" w:cs="Calibri"/>
          <w:color w:val="000000" w:themeColor="text1"/>
          <w:spacing w:val="0"/>
          <w:sz w:val="24"/>
          <w:szCs w:val="24"/>
        </w:rPr>
        <w:t xml:space="preserve"> –</w:t>
      </w:r>
      <w:r>
        <w:rPr>
          <w:rFonts w:ascii="Calibri" w:hAnsi="Calibri" w:eastAsia="Calibri" w:cs="Calibri"/>
          <w:color w:val="000000" w:themeColor="text1"/>
          <w:spacing w:val="0"/>
          <w:sz w:val="22"/>
          <w:szCs w:val="22"/>
          <w:highlight w:val="none"/>
        </w:rPr>
        <w:t xml:space="preserve"> </w:t>
      </w:r>
      <w:r>
        <w:rPr>
          <w:rFonts w:ascii="Calibri" w:hAnsi="Calibri" w:eastAsia="Calibri" w:cs="Calibri"/>
          <w:color w:val="000000" w:themeColor="text1"/>
          <w:spacing w:val="0"/>
          <w:sz w:val="22"/>
          <w:szCs w:val="22"/>
          <w:highlight w:val="white"/>
        </w:rPr>
        <w:t xml:space="preserve">O Diretor Escolar designado pela Chefe do Poder Executivo fica obrigado a cumprir na íntegra, através de termo de compromisso, as atribuições específicas da função, bem como o disposto neste decreto e </w:t>
      </w:r>
      <w:r>
        <w:rPr>
          <w:rFonts w:ascii="Calibri" w:hAnsi="Calibri" w:eastAsia="Calibri" w:cs="Calibri"/>
          <w:color w:val="000000" w:themeColor="text1"/>
          <w:spacing w:val="0"/>
          <w:sz w:val="22"/>
          <w:szCs w:val="22"/>
          <w:highlight w:val="white"/>
        </w:rPr>
      </w:r>
      <w:r>
        <w:rPr>
          <w:rFonts w:ascii="Calibri" w:hAnsi="Calibri" w:eastAsia="Calibri" w:cs="Calibri"/>
          <w:color w:val="000000" w:themeColor="text1"/>
          <w:spacing w:val="0"/>
          <w:sz w:val="22"/>
          <w:szCs w:val="22"/>
          <w:highlight w:val="white"/>
        </w:rPr>
        <w:t xml:space="preserve">as determinações previstas em regulamento.</w:t>
        <w:br/>
        <w:br/>
      </w:r>
      <w:r>
        <w:rPr>
          <w:rFonts w:ascii="Calibri" w:hAnsi="Calibri" w:eastAsia="Calibri" w:cs="Calibri"/>
          <w:b/>
          <w:color w:val="000000" w:themeColor="text1"/>
          <w:spacing w:val="0"/>
          <w:sz w:val="24"/>
          <w:szCs w:val="24"/>
        </w:rPr>
        <w:t xml:space="preserve">                        Art. 7º</w:t>
      </w:r>
      <w:r>
        <w:rPr>
          <w:rFonts w:ascii="Calibri" w:hAnsi="Calibri" w:eastAsia="Calibri" w:cs="Calibri"/>
          <w:color w:val="000000" w:themeColor="text1"/>
          <w:spacing w:val="0"/>
          <w:sz w:val="24"/>
          <w:szCs w:val="24"/>
        </w:rPr>
        <w:t xml:space="preserve"> –</w:t>
      </w:r>
      <w:r>
        <w:rPr>
          <w:rFonts w:ascii="Calibri" w:hAnsi="Calibri" w:eastAsia="Calibri" w:cs="Calibri"/>
          <w:color w:val="000000" w:themeColor="text1"/>
          <w:spacing w:val="0"/>
          <w:sz w:val="22"/>
          <w:szCs w:val="22"/>
          <w:highlight w:val="none"/>
        </w:rPr>
        <w:t xml:space="preserve"> </w:t>
      </w:r>
      <w:r>
        <w:rPr>
          <w:rFonts w:ascii="Calibri" w:hAnsi="Calibri" w:eastAsia="Calibri" w:cs="Calibri"/>
          <w:color w:val="000000" w:themeColor="text1"/>
          <w:spacing w:val="0"/>
          <w:sz w:val="22"/>
          <w:szCs w:val="22"/>
          <w:highlight w:val="white"/>
        </w:rPr>
        <w:t xml:space="preserve">A avaliação de mérito e desempenho do Diretor Escolar terá acompanhamento da SMED e ocorrerá, sempre que necessário, ou, no mínimo uma vez ao ano, </w:t>
      </w:r>
      <w:r>
        <w:rPr>
          <w:rFonts w:ascii="Calibri" w:hAnsi="Calibri" w:eastAsia="Calibri" w:cs="Calibri"/>
          <w:i/>
          <w:color w:val="000000" w:themeColor="text1"/>
          <w:spacing w:val="0"/>
          <w:sz w:val="22"/>
          <w:szCs w:val="22"/>
          <w:highlight w:val="white"/>
        </w:rPr>
        <w:t xml:space="preserve">in loco</w:t>
      </w:r>
      <w:r>
        <w:rPr>
          <w:rFonts w:ascii="Calibri" w:hAnsi="Calibri" w:eastAsia="Calibri" w:cs="Calibri"/>
          <w:color w:val="000000" w:themeColor="text1"/>
          <w:spacing w:val="0"/>
          <w:sz w:val="22"/>
          <w:szCs w:val="22"/>
          <w:highlight w:val="white"/>
        </w:rPr>
        <w:t xml:space="preserve">, na respectiva unidade de ensino, por comissão avaliadora, específica para este fim, designada pela Chefe do Poder Executivo.</w:t>
        <w:br/>
        <w:br/>
        <w:t xml:space="preserve">                          </w:t>
      </w:r>
      <w:r>
        <w:rPr>
          <w:rFonts w:ascii="Calibri" w:hAnsi="Calibri" w:eastAsia="Calibri" w:cs="Calibri"/>
          <w:b/>
          <w:bCs/>
          <w:color w:val="000000" w:themeColor="text1"/>
          <w:spacing w:val="0"/>
          <w:sz w:val="22"/>
          <w:szCs w:val="22"/>
          <w:highlight w:val="white"/>
        </w:rPr>
        <w:t xml:space="preserve">Parágrafo único</w:t>
      </w:r>
      <w:r>
        <w:rPr>
          <w:rFonts w:ascii="Calibri" w:hAnsi="Calibri" w:eastAsia="Calibri" w:cs="Calibri"/>
          <w:color w:val="000000" w:themeColor="text1"/>
          <w:spacing w:val="0"/>
          <w:sz w:val="22"/>
          <w:szCs w:val="22"/>
          <w:highlight w:val="white"/>
        </w:rPr>
        <w:t xml:space="preserve">. Caberá aos membros da comissão referida no caput deste artigo o devido regramento do processo de avaliação e de</w:t>
      </w:r>
      <w:r>
        <w:rPr>
          <w:rFonts w:ascii="Calibri" w:hAnsi="Calibri" w:eastAsia="Calibri" w:cs="Calibri"/>
          <w:color w:val="000000" w:themeColor="text1"/>
          <w:spacing w:val="0"/>
          <w:sz w:val="22"/>
          <w:szCs w:val="22"/>
          <w:highlight w:val="white"/>
        </w:rPr>
        <w:t xml:space="preserve">sempenho.</w:t>
        <w:br/>
        <w:br/>
      </w:r>
      <w:r>
        <w:rPr>
          <w:rFonts w:ascii="Calibri" w:hAnsi="Calibri" w:eastAsia="Calibri" w:cs="Calibri"/>
          <w:color w:val="000000" w:themeColor="text1"/>
          <w:spacing w:val="0"/>
          <w:sz w:val="22"/>
          <w:szCs w:val="22"/>
          <w:highlight w:val="none"/>
        </w:rPr>
        <w:t xml:space="preserve">                            </w:t>
      </w:r>
      <w:r>
        <w:rPr>
          <w:rFonts w:ascii="Calibri" w:hAnsi="Calibri" w:eastAsia="Calibri" w:cs="Calibri"/>
          <w:b/>
          <w:color w:val="000000" w:themeColor="text1"/>
          <w:spacing w:val="0"/>
          <w:sz w:val="24"/>
          <w:szCs w:val="24"/>
        </w:rPr>
        <w:t xml:space="preserve">Art. 8º</w:t>
      </w:r>
      <w:r>
        <w:rPr>
          <w:rFonts w:ascii="Calibri" w:hAnsi="Calibri" w:eastAsia="Calibri" w:cs="Calibri"/>
          <w:color w:val="000000" w:themeColor="text1"/>
          <w:spacing w:val="0"/>
          <w:sz w:val="24"/>
          <w:szCs w:val="24"/>
        </w:rPr>
        <w:t xml:space="preserve"> –</w:t>
      </w:r>
      <w:r>
        <w:rPr>
          <w:rFonts w:ascii="Calibri" w:hAnsi="Calibri" w:eastAsia="Calibri" w:cs="Calibri"/>
          <w:color w:val="000000" w:themeColor="text1"/>
          <w:spacing w:val="0"/>
          <w:sz w:val="22"/>
          <w:szCs w:val="22"/>
          <w:highlight w:val="white"/>
        </w:rPr>
        <w:t xml:space="preserve"> A posse dos diretores das escolas municipais ocorrerá ao final do ano letivo, em data a ser definida pelo órgão dirigente da educação.</w:t>
        <w:br/>
        <w:br/>
        <w:t xml:space="preserve">                           </w:t>
      </w:r>
      <w:r>
        <w:rPr>
          <w:rFonts w:ascii="Calibri" w:hAnsi="Calibri" w:eastAsia="Calibri" w:cs="Calibri"/>
          <w:b/>
          <w:color w:val="000000" w:themeColor="text1"/>
          <w:spacing w:val="0"/>
          <w:sz w:val="24"/>
          <w:szCs w:val="24"/>
        </w:rPr>
        <w:t xml:space="preserve">Art. 9º</w:t>
      </w:r>
      <w:r>
        <w:rPr>
          <w:rFonts w:ascii="Calibri" w:hAnsi="Calibri" w:eastAsia="Calibri" w:cs="Calibri"/>
          <w:color w:val="000000" w:themeColor="text1"/>
          <w:spacing w:val="0"/>
          <w:sz w:val="24"/>
          <w:szCs w:val="24"/>
        </w:rPr>
        <w:t xml:space="preserve"> –</w:t>
      </w:r>
      <w:r>
        <w:rPr>
          <w:rFonts w:ascii="Calibri" w:hAnsi="Calibri" w:eastAsia="Calibri" w:cs="Calibri"/>
          <w:color w:val="000000" w:themeColor="text1"/>
          <w:spacing w:val="0"/>
          <w:sz w:val="22"/>
          <w:szCs w:val="22"/>
          <w:highlight w:val="white"/>
        </w:rPr>
        <w:t xml:space="preserve"> Na vacância da função de representação de Diretor Escolar, a Secretaria Municipal de Educação e Desporto - SMED designará Diretor Pro Tempore ou poderá fazer uso da lista dos certificados no Curso ou Programa de Formação em Gestão Escolar.</w:t>
      </w:r>
      <w:r>
        <w:rPr>
          <w:spacing w:val="0"/>
        </w:rPr>
      </w:r>
      <w:r/>
      <w:r>
        <w:rPr>
          <w:rFonts w:ascii="Calibri" w:hAnsi="Calibri" w:eastAsia="Calibri" w:cs="Calibri"/>
          <w:color w:val="000000" w:themeColor="text1"/>
          <w:spacing w:val="0"/>
          <w:sz w:val="22"/>
          <w:szCs w:val="22"/>
          <w:highlight w:val="none"/>
        </w:rPr>
      </w:r>
    </w:p>
    <w:p>
      <w:pPr>
        <w:contextualSpacing w:val="0"/>
        <w:ind w:left="0" w:right="0" w:firstLine="1417"/>
        <w:jc w:val="both"/>
        <w:spacing w:before="0" w:line="233" w:lineRule="auto"/>
        <w:rPr>
          <w:rFonts w:ascii="Calibri" w:hAnsi="Calibri" w:eastAsia="Calibri" w:cs="Calibri"/>
          <w:color w:val="000000" w:themeColor="text1"/>
          <w:spacing w:val="0"/>
          <w:sz w:val="22"/>
          <w:szCs w:val="22"/>
          <w:highlight w:val="white"/>
        </w:rPr>
        <w:suppressLineNumbers w:val="0"/>
      </w:pPr>
      <w:r>
        <w:rPr>
          <w:rFonts w:ascii="Calibri" w:hAnsi="Calibri" w:eastAsia="Calibri" w:cs="Calibri"/>
          <w:color w:val="000000" w:themeColor="text1"/>
          <w:spacing w:val="0"/>
          <w:sz w:val="22"/>
          <w:szCs w:val="22"/>
          <w:highlight w:val="white"/>
        </w:rPr>
      </w:r>
      <w:r>
        <w:rPr>
          <w:rFonts w:ascii="Calibri" w:hAnsi="Calibri" w:eastAsia="Calibri" w:cs="Calibri"/>
          <w:color w:val="000000" w:themeColor="text1"/>
          <w:spacing w:val="0"/>
          <w:sz w:val="22"/>
          <w:szCs w:val="22"/>
          <w:highlight w:val="white"/>
        </w:rPr>
      </w:r>
    </w:p>
    <w:p>
      <w:pPr>
        <w:contextualSpacing w:val="0"/>
        <w:ind w:left="0" w:right="0" w:firstLine="1417"/>
        <w:jc w:val="both"/>
        <w:spacing w:before="0" w:line="233" w:lineRule="auto"/>
        <w:rPr>
          <w:rFonts w:ascii="Calibri" w:hAnsi="Calibri" w:eastAsia="Calibri" w:cs="Calibri"/>
          <w:color w:val="000000" w:themeColor="text1"/>
          <w:spacing w:val="0"/>
          <w:sz w:val="22"/>
          <w:szCs w:val="22"/>
          <w:highlight w:val="none"/>
        </w:rPr>
        <w:suppressLineNumbers w:val="0"/>
      </w:pPr>
      <w:r>
        <w:rPr>
          <w:rFonts w:ascii="Calibri" w:hAnsi="Calibri" w:eastAsia="Calibri" w:cs="Calibri"/>
          <w:color w:val="000000" w:themeColor="text1"/>
          <w:spacing w:val="0"/>
          <w:sz w:val="22"/>
          <w:szCs w:val="22"/>
          <w:highlight w:val="white"/>
        </w:rPr>
      </w:r>
      <w:r>
        <w:rPr>
          <w:rFonts w:ascii="Calibri" w:hAnsi="Calibri" w:eastAsia="Calibri" w:cs="Calibri"/>
          <w:b/>
          <w:color w:val="000000" w:themeColor="text1"/>
          <w:spacing w:val="0"/>
          <w:sz w:val="24"/>
          <w:szCs w:val="24"/>
        </w:rPr>
        <w:t xml:space="preserve">Art. 10º</w:t>
      </w:r>
      <w:r>
        <w:rPr>
          <w:rFonts w:ascii="Calibri" w:hAnsi="Calibri" w:eastAsia="Calibri" w:cs="Calibri"/>
          <w:color w:val="000000" w:themeColor="text1"/>
          <w:spacing w:val="0"/>
          <w:sz w:val="24"/>
          <w:szCs w:val="24"/>
        </w:rPr>
        <w:t xml:space="preserve"> –</w:t>
      </w:r>
      <w:r>
        <w:rPr>
          <w:rFonts w:ascii="Calibri" w:hAnsi="Calibri" w:eastAsia="Calibri" w:cs="Calibri"/>
          <w:color w:val="000000" w:themeColor="text1"/>
          <w:spacing w:val="0"/>
          <w:sz w:val="22"/>
          <w:szCs w:val="22"/>
          <w:highlight w:val="none"/>
        </w:rPr>
        <w:t xml:space="preserve"> Ocorrerá vacância da função de Diretor:</w:t>
      </w:r>
      <w:r>
        <w:rPr>
          <w:rFonts w:ascii="Calibri" w:hAnsi="Calibri" w:eastAsia="Calibri" w:cs="Calibri"/>
          <w:color w:val="000000" w:themeColor="text1"/>
          <w:spacing w:val="0"/>
          <w:sz w:val="22"/>
          <w:szCs w:val="22"/>
          <w:highlight w:val="white"/>
        </w:rPr>
      </w:r>
      <w:r>
        <w:rPr>
          <w:rFonts w:ascii="Calibri" w:hAnsi="Calibri" w:eastAsia="Calibri" w:cs="Calibri"/>
          <w:color w:val="000000" w:themeColor="text1"/>
          <w:spacing w:val="0"/>
          <w:sz w:val="22"/>
          <w:szCs w:val="22"/>
          <w:highlight w:val="white"/>
        </w:rPr>
      </w:r>
    </w:p>
    <w:p>
      <w:pPr>
        <w:contextualSpacing w:val="0"/>
        <w:ind w:left="0" w:right="0" w:firstLine="1417"/>
        <w:jc w:val="both"/>
        <w:spacing w:before="0" w:line="233" w:lineRule="auto"/>
        <w:rPr>
          <w:rFonts w:ascii="Calibri" w:hAnsi="Calibri" w:eastAsia="Calibri" w:cs="Calibri"/>
          <w:color w:val="000000" w:themeColor="text1"/>
          <w:spacing w:val="0"/>
          <w:sz w:val="22"/>
          <w:szCs w:val="22"/>
          <w:highlight w:val="none"/>
        </w:rPr>
        <w:suppressLineNumbers w:val="0"/>
      </w:pPr>
      <w:r>
        <w:rPr>
          <w:rFonts w:ascii="Calibri" w:hAnsi="Calibri" w:eastAsia="Calibri" w:cs="Calibri"/>
          <w:color w:val="000000" w:themeColor="text1"/>
          <w:spacing w:val="0"/>
          <w:sz w:val="22"/>
          <w:szCs w:val="22"/>
          <w:highlight w:val="none"/>
        </w:rPr>
        <w:t xml:space="preserve"> </w:t>
      </w:r>
      <w:r>
        <w:rPr>
          <w:rFonts w:ascii="Calibri" w:hAnsi="Calibri" w:eastAsia="Calibri" w:cs="Calibri"/>
          <w:color w:val="000000" w:themeColor="text1"/>
          <w:spacing w:val="0"/>
          <w:sz w:val="22"/>
          <w:szCs w:val="22"/>
          <w:highlight w:val="none"/>
        </w:rPr>
      </w:r>
    </w:p>
    <w:p>
      <w:pPr>
        <w:contextualSpacing w:val="0"/>
        <w:ind w:left="0" w:right="0" w:firstLine="1417"/>
        <w:jc w:val="both"/>
        <w:spacing w:before="0" w:line="233" w:lineRule="auto"/>
        <w:rPr>
          <w:rFonts w:ascii="Calibri" w:hAnsi="Calibri" w:eastAsia="Calibri" w:cs="Calibri"/>
          <w:color w:val="000000" w:themeColor="text1"/>
          <w:spacing w:val="0"/>
          <w:sz w:val="22"/>
          <w:szCs w:val="22"/>
          <w:highlight w:val="none"/>
        </w:rPr>
        <w:suppressLineNumbers w:val="0"/>
      </w:pPr>
      <w:r>
        <w:rPr>
          <w:rFonts w:ascii="Calibri" w:hAnsi="Calibri" w:eastAsia="Calibri" w:cs="Calibri"/>
          <w:b/>
          <w:bCs/>
          <w:color w:val="000000" w:themeColor="text1"/>
          <w:spacing w:val="0"/>
          <w:sz w:val="22"/>
          <w:szCs w:val="22"/>
          <w:highlight w:val="none"/>
        </w:rPr>
        <w:t xml:space="preserve">I –</w:t>
      </w:r>
      <w:r>
        <w:rPr>
          <w:rFonts w:ascii="Calibri" w:hAnsi="Calibri" w:eastAsia="Calibri" w:cs="Calibri"/>
          <w:color w:val="000000" w:themeColor="text1"/>
          <w:spacing w:val="0"/>
          <w:sz w:val="22"/>
          <w:szCs w:val="22"/>
          <w:highlight w:val="none"/>
        </w:rPr>
        <w:t xml:space="preserve"> pelo término do período a que se refere ao §1º do art. 2º;</w:t>
      </w:r>
      <w:r>
        <w:rPr>
          <w:rFonts w:ascii="Calibri" w:hAnsi="Calibri" w:eastAsia="Calibri" w:cs="Calibri"/>
          <w:color w:val="000000" w:themeColor="text1"/>
          <w:spacing w:val="0"/>
          <w:sz w:val="22"/>
          <w:szCs w:val="22"/>
          <w:highlight w:val="none"/>
        </w:rPr>
      </w:r>
    </w:p>
    <w:p>
      <w:pPr>
        <w:contextualSpacing w:val="0"/>
        <w:ind w:left="0" w:right="0" w:firstLine="1417"/>
        <w:jc w:val="both"/>
        <w:spacing w:before="0" w:line="233" w:lineRule="auto"/>
        <w:rPr>
          <w:rFonts w:ascii="Calibri" w:hAnsi="Calibri" w:eastAsia="Calibri" w:cs="Calibri"/>
          <w:color w:val="000000" w:themeColor="text1"/>
          <w:spacing w:val="0"/>
          <w:sz w:val="22"/>
          <w:szCs w:val="22"/>
          <w:highlight w:val="none"/>
        </w:rPr>
        <w:suppressLineNumbers w:val="0"/>
      </w:pPr>
      <w:r>
        <w:rPr>
          <w:rFonts w:ascii="Calibri" w:hAnsi="Calibri" w:eastAsia="Calibri" w:cs="Calibri"/>
          <w:b/>
          <w:bCs/>
          <w:color w:val="000000" w:themeColor="text1"/>
          <w:spacing w:val="0"/>
          <w:sz w:val="22"/>
          <w:szCs w:val="22"/>
          <w:highlight w:val="none"/>
        </w:rPr>
        <w:t xml:space="preserve">II </w:t>
      </w:r>
      <w:r>
        <w:rPr>
          <w:rFonts w:ascii="Calibri" w:hAnsi="Calibri" w:eastAsia="Calibri" w:cs="Calibri"/>
          <w:color w:val="000000" w:themeColor="text1"/>
          <w:spacing w:val="0"/>
          <w:sz w:val="22"/>
          <w:szCs w:val="22"/>
          <w:highlight w:val="none"/>
        </w:rPr>
        <w:t xml:space="preserve">– por renúncia;</w:t>
      </w:r>
      <w:r>
        <w:rPr>
          <w:rFonts w:ascii="Calibri" w:hAnsi="Calibri" w:eastAsia="Calibri" w:cs="Calibri"/>
          <w:color w:val="000000" w:themeColor="text1"/>
          <w:spacing w:val="0"/>
          <w:sz w:val="22"/>
          <w:szCs w:val="22"/>
          <w:highlight w:val="none"/>
        </w:rPr>
      </w:r>
    </w:p>
    <w:p>
      <w:pPr>
        <w:contextualSpacing w:val="0"/>
        <w:ind w:left="0" w:right="0" w:firstLine="1417"/>
        <w:jc w:val="both"/>
        <w:spacing w:before="0" w:line="233" w:lineRule="auto"/>
        <w:rPr>
          <w:rFonts w:ascii="Calibri" w:hAnsi="Calibri" w:eastAsia="Calibri" w:cs="Calibri"/>
          <w:color w:val="000000" w:themeColor="text1"/>
          <w:spacing w:val="0"/>
          <w:sz w:val="22"/>
          <w:szCs w:val="22"/>
          <w:highlight w:val="none"/>
        </w:rPr>
        <w:suppressLineNumbers w:val="0"/>
      </w:pPr>
      <w:r>
        <w:rPr>
          <w:rFonts w:ascii="Calibri" w:hAnsi="Calibri" w:eastAsia="Calibri" w:cs="Calibri"/>
          <w:b/>
          <w:bCs/>
          <w:color w:val="000000" w:themeColor="text1"/>
          <w:spacing w:val="0"/>
          <w:sz w:val="22"/>
          <w:szCs w:val="22"/>
          <w:highlight w:val="none"/>
        </w:rPr>
        <w:t xml:space="preserve">III </w:t>
      </w:r>
      <w:r>
        <w:rPr>
          <w:rFonts w:ascii="Calibri" w:hAnsi="Calibri" w:eastAsia="Calibri" w:cs="Calibri"/>
          <w:color w:val="000000" w:themeColor="text1"/>
          <w:spacing w:val="0"/>
          <w:sz w:val="22"/>
          <w:szCs w:val="22"/>
          <w:highlight w:val="none"/>
        </w:rPr>
        <w:t xml:space="preserve">– por aposentadoria;</w:t>
      </w:r>
      <w:r>
        <w:rPr>
          <w:rFonts w:ascii="Calibri" w:hAnsi="Calibri" w:eastAsia="Calibri" w:cs="Calibri"/>
          <w:color w:val="000000" w:themeColor="text1"/>
          <w:spacing w:val="0"/>
          <w:sz w:val="22"/>
          <w:szCs w:val="22"/>
          <w:highlight w:val="none"/>
        </w:rPr>
      </w:r>
    </w:p>
    <w:p>
      <w:pPr>
        <w:contextualSpacing w:val="0"/>
        <w:ind w:left="0" w:right="0" w:firstLine="1417"/>
        <w:jc w:val="both"/>
        <w:spacing w:before="0" w:line="233" w:lineRule="auto"/>
        <w:rPr>
          <w:rFonts w:ascii="Calibri" w:hAnsi="Calibri" w:eastAsia="Calibri" w:cs="Calibri"/>
          <w:color w:val="000000" w:themeColor="text1"/>
          <w:spacing w:val="0"/>
          <w:sz w:val="22"/>
          <w:szCs w:val="22"/>
          <w:highlight w:val="none"/>
        </w:rPr>
        <w:suppressLineNumbers w:val="0"/>
      </w:pPr>
      <w:r>
        <w:rPr>
          <w:rFonts w:ascii="Calibri" w:hAnsi="Calibri" w:eastAsia="Calibri" w:cs="Calibri"/>
          <w:b/>
          <w:bCs/>
          <w:color w:val="000000" w:themeColor="text1"/>
          <w:spacing w:val="0"/>
          <w:sz w:val="22"/>
          <w:szCs w:val="22"/>
          <w:highlight w:val="none"/>
        </w:rPr>
        <w:t xml:space="preserve">IV</w:t>
      </w:r>
      <w:r>
        <w:rPr>
          <w:rFonts w:ascii="Calibri" w:hAnsi="Calibri" w:eastAsia="Calibri" w:cs="Calibri"/>
          <w:color w:val="000000" w:themeColor="text1"/>
          <w:spacing w:val="0"/>
          <w:sz w:val="22"/>
          <w:szCs w:val="22"/>
          <w:highlight w:val="none"/>
        </w:rPr>
        <w:t xml:space="preserve"> – por falecimento;</w:t>
      </w:r>
      <w:r>
        <w:rPr>
          <w:rFonts w:ascii="Calibri" w:hAnsi="Calibri" w:eastAsia="Calibri" w:cs="Calibri"/>
          <w:color w:val="000000" w:themeColor="text1"/>
          <w:spacing w:val="0"/>
          <w:sz w:val="22"/>
          <w:szCs w:val="22"/>
          <w:highlight w:val="none"/>
        </w:rPr>
      </w:r>
    </w:p>
    <w:p>
      <w:pPr>
        <w:contextualSpacing w:val="0"/>
        <w:ind w:left="0" w:right="0" w:firstLine="1417"/>
        <w:jc w:val="both"/>
        <w:spacing w:before="0" w:line="233" w:lineRule="auto"/>
        <w:rPr>
          <w:rFonts w:ascii="Calibri" w:hAnsi="Calibri" w:eastAsia="Calibri" w:cs="Calibri"/>
          <w:color w:val="000000" w:themeColor="text1"/>
          <w:spacing w:val="0"/>
          <w:sz w:val="22"/>
          <w:szCs w:val="22"/>
          <w:highlight w:val="none"/>
        </w:rPr>
        <w:suppressLineNumbers w:val="0"/>
      </w:pPr>
      <w:r>
        <w:rPr>
          <w:rFonts w:ascii="Calibri" w:hAnsi="Calibri" w:eastAsia="Calibri" w:cs="Calibri"/>
          <w:b/>
          <w:bCs/>
          <w:color w:val="000000" w:themeColor="text1"/>
          <w:spacing w:val="0"/>
          <w:sz w:val="22"/>
          <w:szCs w:val="22"/>
          <w:highlight w:val="none"/>
        </w:rPr>
        <w:t xml:space="preserve">V</w:t>
      </w:r>
      <w:r>
        <w:rPr>
          <w:rFonts w:ascii="Calibri" w:hAnsi="Calibri" w:eastAsia="Calibri" w:cs="Calibri"/>
          <w:color w:val="000000" w:themeColor="text1"/>
          <w:spacing w:val="0"/>
          <w:sz w:val="22"/>
          <w:szCs w:val="22"/>
          <w:highlight w:val="none"/>
        </w:rPr>
        <w:t xml:space="preserve"> – por exoneração da função;</w:t>
      </w:r>
      <w:r>
        <w:rPr>
          <w:rFonts w:ascii="Calibri" w:hAnsi="Calibri" w:eastAsia="Calibri" w:cs="Calibri"/>
          <w:color w:val="000000" w:themeColor="text1"/>
          <w:spacing w:val="0"/>
          <w:sz w:val="22"/>
          <w:szCs w:val="22"/>
          <w:highlight w:val="none"/>
        </w:rPr>
      </w:r>
    </w:p>
    <w:p>
      <w:pPr>
        <w:contextualSpacing w:val="0"/>
        <w:ind w:left="0" w:right="0" w:firstLine="1417"/>
        <w:jc w:val="both"/>
        <w:spacing w:before="0" w:line="233" w:lineRule="auto"/>
        <w:rPr>
          <w:rFonts w:ascii="Calibri" w:hAnsi="Calibri" w:eastAsia="Calibri" w:cs="Calibri"/>
          <w:color w:val="000000" w:themeColor="text1"/>
          <w:spacing w:val="0"/>
          <w:sz w:val="22"/>
          <w:szCs w:val="22"/>
          <w:highlight w:val="white"/>
        </w:rPr>
        <w:suppressLineNumbers w:val="0"/>
      </w:pPr>
      <w:r>
        <w:rPr>
          <w:rFonts w:ascii="Calibri" w:hAnsi="Calibri" w:eastAsia="Calibri" w:cs="Calibri"/>
          <w:b/>
          <w:bCs/>
          <w:color w:val="000000" w:themeColor="text1"/>
          <w:spacing w:val="0"/>
          <w:sz w:val="22"/>
          <w:szCs w:val="22"/>
          <w:highlight w:val="none"/>
        </w:rPr>
        <w:t xml:space="preserve">V</w:t>
      </w:r>
      <w:r>
        <w:rPr>
          <w:rFonts w:ascii="Calibri" w:hAnsi="Calibri" w:eastAsia="Calibri" w:cs="Calibri"/>
          <w:b/>
          <w:bCs/>
          <w:color w:val="000000" w:themeColor="text1"/>
          <w:spacing w:val="0"/>
          <w:sz w:val="22"/>
          <w:szCs w:val="22"/>
          <w:highlight w:val="none"/>
        </w:rPr>
        <w:t xml:space="preserve">I</w:t>
      </w:r>
      <w:r>
        <w:rPr>
          <w:rFonts w:ascii="Calibri" w:hAnsi="Calibri" w:eastAsia="Calibri" w:cs="Calibri"/>
          <w:color w:val="000000" w:themeColor="text1"/>
          <w:spacing w:val="0"/>
          <w:sz w:val="22"/>
          <w:szCs w:val="22"/>
          <w:highlight w:val="none"/>
        </w:rPr>
        <w:t xml:space="preserve"> – por demissão;</w:t>
      </w:r>
      <w:r>
        <w:rPr>
          <w:rFonts w:ascii="Calibri" w:hAnsi="Calibri" w:eastAsia="Calibri" w:cs="Calibri"/>
          <w:color w:val="000000" w:themeColor="text1"/>
          <w:spacing w:val="0"/>
          <w:sz w:val="22"/>
          <w:szCs w:val="22"/>
          <w:highlight w:val="none"/>
        </w:rPr>
      </w:r>
    </w:p>
    <w:p>
      <w:pPr>
        <w:contextualSpacing w:val="0"/>
        <w:ind w:left="0" w:right="0" w:firstLine="1417"/>
        <w:jc w:val="both"/>
        <w:spacing w:before="0" w:line="233" w:lineRule="auto"/>
        <w:rPr>
          <w:rFonts w:ascii="Calibri" w:hAnsi="Calibri" w:eastAsia="Calibri" w:cs="Calibri"/>
          <w:color w:val="000000" w:themeColor="text1"/>
          <w:spacing w:val="0"/>
          <w:sz w:val="22"/>
          <w:szCs w:val="22"/>
          <w:highlight w:val="none"/>
        </w:rPr>
        <w:suppressLineNumbers w:val="0"/>
      </w:pPr>
      <w:r>
        <w:rPr>
          <w:rFonts w:ascii="Calibri" w:hAnsi="Calibri" w:eastAsia="Calibri" w:cs="Calibri"/>
          <w:color w:val="000000" w:themeColor="text1"/>
          <w:spacing w:val="0"/>
          <w:sz w:val="22"/>
          <w:szCs w:val="22"/>
          <w:highlight w:val="white"/>
        </w:rPr>
        <w:br/>
        <w:br/>
      </w:r>
      <w:r>
        <w:rPr>
          <w:rFonts w:ascii="Calibri" w:hAnsi="Calibri" w:eastAsia="Calibri" w:cs="Calibri"/>
          <w:color w:val="000000" w:themeColor="text1"/>
          <w:spacing w:val="0"/>
          <w:sz w:val="22"/>
          <w:szCs w:val="22"/>
          <w:highlight w:val="none"/>
        </w:rPr>
        <w:t xml:space="preserve">                             </w:t>
      </w:r>
      <w:r>
        <w:rPr>
          <w:rFonts w:ascii="Calibri" w:hAnsi="Calibri" w:eastAsia="Calibri" w:cs="Calibri"/>
          <w:b/>
          <w:color w:val="000000" w:themeColor="text1"/>
          <w:spacing w:val="0"/>
          <w:sz w:val="24"/>
          <w:szCs w:val="24"/>
        </w:rPr>
        <w:t xml:space="preserve">Art. 11º</w:t>
      </w:r>
      <w:r>
        <w:rPr>
          <w:rFonts w:ascii="Calibri" w:hAnsi="Calibri" w:eastAsia="Calibri" w:cs="Calibri"/>
          <w:color w:val="000000" w:themeColor="text1"/>
          <w:spacing w:val="0"/>
          <w:sz w:val="24"/>
          <w:szCs w:val="24"/>
        </w:rPr>
        <w:t xml:space="preserve"> –</w:t>
      </w:r>
      <w:r>
        <w:rPr>
          <w:rFonts w:ascii="Calibri" w:hAnsi="Calibri" w:eastAsia="Calibri" w:cs="Calibri"/>
          <w:color w:val="000000" w:themeColor="text1"/>
          <w:spacing w:val="0"/>
          <w:sz w:val="22"/>
          <w:szCs w:val="22"/>
          <w:highlight w:val="white"/>
        </w:rPr>
        <w:t xml:space="preserve"> O Diretor Escolar que descumprir as diretrizes da Secretaria Municipal de Educação e Desporto - SMED, bem como o disposto neste decreto, será dispensado da respectiva função por ato da Chefe do Poder Executivo.</w:t>
        <w:br/>
        <w:br/>
      </w:r>
      <w:r>
        <w:rPr>
          <w:rFonts w:ascii="Calibri" w:hAnsi="Calibri" w:eastAsia="Calibri" w:cs="Calibri"/>
          <w:color w:val="000000" w:themeColor="text1"/>
          <w:spacing w:val="0"/>
          <w:sz w:val="22"/>
          <w:szCs w:val="22"/>
          <w:highlight w:val="none"/>
        </w:rPr>
        <w:t xml:space="preserve">                            </w:t>
      </w:r>
      <w:r>
        <w:rPr>
          <w:rFonts w:ascii="Calibri" w:hAnsi="Calibri" w:eastAsia="Calibri" w:cs="Calibri"/>
          <w:b/>
          <w:color w:val="000000" w:themeColor="text1"/>
          <w:spacing w:val="0"/>
          <w:sz w:val="24"/>
          <w:szCs w:val="24"/>
        </w:rPr>
        <w:t xml:space="preserve">Art. 12º</w:t>
      </w:r>
      <w:r>
        <w:rPr>
          <w:rFonts w:ascii="Calibri" w:hAnsi="Calibri" w:eastAsia="Calibri" w:cs="Calibri"/>
          <w:color w:val="000000" w:themeColor="text1"/>
          <w:spacing w:val="0"/>
          <w:sz w:val="24"/>
          <w:szCs w:val="24"/>
        </w:rPr>
        <w:t xml:space="preserve"> –</w:t>
      </w:r>
      <w:r>
        <w:rPr>
          <w:rFonts w:ascii="Calibri" w:hAnsi="Calibri" w:eastAsia="Calibri" w:cs="Calibri"/>
          <w:color w:val="000000" w:themeColor="text1"/>
          <w:spacing w:val="0"/>
          <w:sz w:val="22"/>
          <w:szCs w:val="22"/>
          <w:highlight w:val="white"/>
        </w:rPr>
        <w:t xml:space="preserve"> A Chefe do Poder Executivo manterá nos cargos os atuais diretores de escola até o término da gestão a que foram empossados.</w:t>
        <w:br/>
        <w:br/>
      </w:r>
      <w:r>
        <w:rPr>
          <w:rFonts w:ascii="Calibri" w:hAnsi="Calibri" w:eastAsia="Calibri" w:cs="Calibri"/>
          <w:color w:val="000000" w:themeColor="text1"/>
          <w:spacing w:val="0"/>
          <w:sz w:val="22"/>
          <w:szCs w:val="22"/>
          <w:highlight w:val="none"/>
        </w:rPr>
        <w:t xml:space="preserve">                            </w:t>
      </w:r>
      <w:r>
        <w:rPr>
          <w:rFonts w:ascii="Calibri" w:hAnsi="Calibri" w:eastAsia="Calibri" w:cs="Calibri"/>
          <w:b/>
          <w:color w:val="000000" w:themeColor="text1"/>
          <w:spacing w:val="0"/>
          <w:sz w:val="24"/>
          <w:szCs w:val="24"/>
        </w:rPr>
        <w:t xml:space="preserve">Art. 13º</w:t>
      </w:r>
      <w:r>
        <w:rPr>
          <w:rFonts w:ascii="Calibri" w:hAnsi="Calibri" w:eastAsia="Calibri" w:cs="Calibri"/>
          <w:color w:val="000000" w:themeColor="text1"/>
          <w:spacing w:val="0"/>
          <w:sz w:val="24"/>
          <w:szCs w:val="24"/>
        </w:rPr>
        <w:t xml:space="preserve"> –</w:t>
      </w:r>
      <w:r>
        <w:rPr>
          <w:rFonts w:ascii="Calibri" w:hAnsi="Calibri" w:eastAsia="Calibri" w:cs="Calibri"/>
          <w:color w:val="000000" w:themeColor="text1"/>
          <w:spacing w:val="0"/>
          <w:sz w:val="22"/>
          <w:szCs w:val="22"/>
          <w:highlight w:val="none"/>
        </w:rPr>
        <w:t xml:space="preserve"> </w:t>
      </w:r>
      <w:r>
        <w:rPr>
          <w:rFonts w:ascii="Calibri" w:hAnsi="Calibri" w:eastAsia="Calibri" w:cs="Calibri"/>
          <w:color w:val="000000" w:themeColor="text1"/>
          <w:spacing w:val="0"/>
          <w:sz w:val="22"/>
          <w:szCs w:val="22"/>
          <w:highlight w:val="white"/>
        </w:rPr>
        <w:t xml:space="preserve">Os casos omissos serão resolvidos pelo órgão dirigente da educação.</w:t>
      </w:r>
      <w:r>
        <w:rPr>
          <w:spacing w:val="0"/>
        </w:rPr>
      </w:r>
      <w:r>
        <w:rPr>
          <w:spacing w:val="0"/>
        </w:rPr>
      </w:r>
    </w:p>
    <w:p>
      <w:pPr>
        <w:contextualSpacing w:val="0"/>
        <w:ind w:left="0" w:right="0" w:firstLine="1417"/>
        <w:jc w:val="both"/>
        <w:spacing w:before="0" w:line="233" w:lineRule="auto"/>
        <w:rPr>
          <w:rFonts w:ascii="Calibri" w:hAnsi="Calibri" w:cs="Calibri"/>
          <w:spacing w:val="0"/>
          <w:sz w:val="24"/>
          <w:szCs w:val="24"/>
        </w:rPr>
        <w:suppressLineNumbers w:val="0"/>
      </w:pPr>
      <w:r>
        <w:rPr>
          <w:rFonts w:ascii="Calibri" w:hAnsi="Calibri" w:eastAsia="Calibri" w:cs="Calibri"/>
          <w:spacing w:val="0"/>
          <w:sz w:val="24"/>
          <w:szCs w:val="24"/>
          <w:highlight w:val="none"/>
        </w:rPr>
      </w:r>
      <w:r>
        <w:rPr>
          <w:rFonts w:ascii="Calibri" w:hAnsi="Calibri" w:eastAsia="Calibri" w:cs="Calibri"/>
          <w:spacing w:val="0"/>
          <w:sz w:val="24"/>
          <w:szCs w:val="24"/>
          <w:highlight w:val="none"/>
        </w:rPr>
      </w:r>
    </w:p>
    <w:p>
      <w:pPr>
        <w:pStyle w:val="951"/>
        <w:contextualSpacing w:val="0"/>
        <w:ind w:left="0" w:right="0" w:firstLine="1417"/>
        <w:jc w:val="both"/>
        <w:spacing w:before="0" w:line="233" w:lineRule="auto"/>
        <w:rPr>
          <w:rFonts w:ascii="Calibri" w:hAnsi="Calibri" w:eastAsia="Calibri" w:cs="Calibri"/>
          <w:spacing w:val="0"/>
          <w:sz w:val="24"/>
          <w:szCs w:val="24"/>
          <w:highlight w:val="none"/>
        </w:rPr>
        <w:suppressLineNumbers w:val="0"/>
      </w:pPr>
      <w:r>
        <w:rPr>
          <w:rFonts w:ascii="Calibri" w:hAnsi="Calibri" w:eastAsia="Calibri" w:cs="Calibri"/>
          <w:b/>
          <w:spacing w:val="0"/>
          <w:sz w:val="24"/>
          <w:szCs w:val="24"/>
        </w:rPr>
      </w:r>
      <w:r>
        <w:rPr>
          <w:rFonts w:ascii="Calibri" w:hAnsi="Calibri" w:eastAsia="Calibri" w:cs="Calibri"/>
          <w:b/>
          <w:color w:val="000000" w:themeColor="text1"/>
          <w:spacing w:val="0"/>
          <w:sz w:val="24"/>
          <w:szCs w:val="24"/>
        </w:rPr>
        <w:t xml:space="preserve">Art. 14º</w:t>
      </w:r>
      <w:r>
        <w:rPr>
          <w:rFonts w:ascii="Calibri" w:hAnsi="Calibri" w:eastAsia="Calibri" w:cs="Calibri"/>
          <w:color w:val="000000" w:themeColor="text1"/>
          <w:spacing w:val="0"/>
          <w:sz w:val="24"/>
          <w:szCs w:val="24"/>
        </w:rPr>
        <w:t xml:space="preserve"> –</w:t>
      </w:r>
      <w:r>
        <w:rPr>
          <w:rFonts w:ascii="Calibri" w:hAnsi="Calibri" w:eastAsia="Calibri" w:cs="Calibri"/>
          <w:spacing w:val="0"/>
          <w:sz w:val="24"/>
          <w:szCs w:val="24"/>
        </w:rPr>
        <w:t xml:space="preserve"> Esta Lei entra em vigor na data de sua publicação</w:t>
      </w:r>
      <w:r>
        <w:rPr>
          <w:rFonts w:ascii="Calibri" w:hAnsi="Calibri" w:eastAsia="Calibri" w:cs="Calibri"/>
          <w:spacing w:val="0"/>
          <w:sz w:val="24"/>
          <w:szCs w:val="24"/>
        </w:rPr>
        <w:t xml:space="preserve">.</w:t>
      </w:r>
      <w:r>
        <w:rPr>
          <w:rFonts w:ascii="Calibri" w:hAnsi="Calibri" w:cs="Calibri"/>
          <w:spacing w:val="0"/>
          <w:sz w:val="24"/>
          <w:szCs w:val="24"/>
        </w:rPr>
      </w:r>
      <w:r>
        <w:rPr>
          <w:rFonts w:ascii="Calibri" w:hAnsi="Calibri" w:eastAsia="Calibri" w:cs="Calibri"/>
          <w:spacing w:val="0"/>
          <w:sz w:val="24"/>
          <w:szCs w:val="24"/>
          <w:highlight w:val="none"/>
        </w:rPr>
      </w:r>
    </w:p>
    <w:p>
      <w:pPr>
        <w:ind w:firstLine="1418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  <w:highlight w:val="none"/>
        </w:rPr>
      </w:r>
      <w:r>
        <w:rPr>
          <w:rFonts w:ascii="Calibri" w:hAnsi="Calibri" w:eastAsia="Calibri" w:cs="Calibri"/>
          <w:sz w:val="24"/>
          <w:szCs w:val="24"/>
          <w:highlight w:val="none"/>
        </w:rPr>
      </w:r>
    </w:p>
    <w:p>
      <w:pPr>
        <w:pStyle w:val="951"/>
        <w:ind w:firstLine="1418"/>
        <w:jc w:val="right"/>
        <w:rPr>
          <w:rFonts w:ascii="Calibri" w:hAnsi="Calibri" w:eastAsia="Calibri" w:cs="Calibri"/>
          <w:sz w:val="24"/>
          <w:szCs w:val="24"/>
          <w:highlight w:val="none"/>
        </w:rPr>
      </w:pPr>
      <w:r>
        <w:rPr>
          <w:rFonts w:ascii="Calibri" w:hAnsi="Calibri" w:eastAsia="Calibri" w:cs="Calibri"/>
          <w:sz w:val="24"/>
          <w:szCs w:val="24"/>
        </w:rPr>
        <w:br w:type="textWrapping" w:clear="all"/>
        <w:br w:type="textWrapping" w:clear="all"/>
        <w:t xml:space="preserve">Gabinete do Prefeito Municipal</w:t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  <w:highlight w:val="none"/>
        </w:rPr>
      </w:r>
    </w:p>
    <w:p>
      <w:pPr>
        <w:pStyle w:val="951"/>
        <w:ind w:firstLine="1418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Canguçu/RS</w:t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951"/>
        <w:ind w:firstLine="1418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ind w:firstLine="1418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ind w:firstLine="1418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ind w:firstLine="1418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951"/>
        <w:ind w:firstLine="1418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951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MARCUS VINICIUS MULLER PEGORARO</w:t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951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Prefeito Municipal</w:t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951"/>
        <w:ind w:firstLine="1418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951"/>
        <w:ind w:firstLine="1418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951"/>
        <w:ind w:firstLine="1418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Registre-se e Publique-se</w:t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951"/>
        <w:ind w:firstLine="1418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_____________________________</w:t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951"/>
        <w:ind w:firstLine="1418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INICIATIVA: PODER LEGISLATIVO</w:t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951"/>
        <w:ind w:firstLine="1418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AUTOR: </w:t>
      </w:r>
      <w:r>
        <w:rPr>
          <w:rFonts w:ascii="Calibri" w:hAnsi="Calibri" w:eastAsia="Calibri" w:cs="Calibri"/>
          <w:b/>
          <w:sz w:val="24"/>
          <w:szCs w:val="24"/>
        </w:rPr>
        <w:t xml:space="preserve">VEREADOR MARCELO ROMIG MARON</w:t>
      </w:r>
      <w:r>
        <w:rPr>
          <w:rFonts w:ascii="Calibri" w:hAnsi="Calibri" w:cs="Calibri"/>
          <w:b/>
          <w:sz w:val="24"/>
          <w:szCs w:val="24"/>
        </w:rPr>
      </w:r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678" w:right="1134" w:bottom="1134" w:left="1134" w:header="284" w:footer="567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SimSun">
    <w:panose1 w:val="02010600030101010101"/>
  </w:font>
  <w:font w:name="Courier New">
    <w:panose1 w:val="02070309020205020404"/>
  </w:font>
  <w:font w:name="Mangal">
    <w:panose1 w:val="02040503050406030204"/>
  </w:font>
  <w:font w:name="Tahoma">
    <w:panose1 w:val="020B06040305040402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Bell MT">
    <w:panose1 w:val="020206030504050203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0"/>
      <w:jc w:val="center"/>
      <w:spacing w:after="100"/>
      <w:rPr>
        <w:rFonts w:ascii="Bell MT" w:hAnsi="Bell MT"/>
        <w:i/>
        <w:sz w:val="28"/>
        <w:szCs w:val="28"/>
      </w:rPr>
      <w:pBdr>
        <w:bottom w:val="single" w:color="000000" w:sz="4" w:space="1"/>
      </w:pBdr>
    </w:pPr>
    <w:r>
      <w:rPr>
        <w:rFonts w:ascii="Bell MT" w:hAnsi="Bell MT"/>
        <w:i/>
        <w:sz w:val="28"/>
        <w:szCs w:val="28"/>
      </w:rPr>
      <w:t xml:space="preserve">“Doe Órgãos, Doe Sangue: Salve Vidas”</w:t>
    </w:r>
    <w:r>
      <w:rPr>
        <w:rFonts w:ascii="Bell MT" w:hAnsi="Bell MT"/>
        <w:i/>
        <w:sz w:val="28"/>
        <w:szCs w:val="28"/>
      </w:rPr>
    </w:r>
    <w:r>
      <w:rPr>
        <w:rFonts w:ascii="Bell MT" w:hAnsi="Bell MT"/>
        <w:i/>
        <w:sz w:val="28"/>
        <w:szCs w:val="28"/>
      </w:rPr>
    </w:r>
  </w:p>
  <w:p>
    <w:pPr>
      <w:pStyle w:val="960"/>
      <w:jc w:val="center"/>
      <w:rPr>
        <w:rFonts w:cs="Arial"/>
        <w:sz w:val="20"/>
        <w:szCs w:val="20"/>
      </w:rPr>
    </w:pPr>
    <w:r>
      <w:rPr>
        <w:rFonts w:cs="Arial"/>
        <w:sz w:val="20"/>
        <w:szCs w:val="20"/>
      </w:rPr>
      <w:t xml:space="preserve">Rua </w:t>
    </w:r>
    <w:r>
      <w:rPr>
        <w:rFonts w:cs="Arial"/>
        <w:sz w:val="20"/>
        <w:szCs w:val="20"/>
      </w:rPr>
      <w:t xml:space="preserve">General Osório</w:t>
    </w:r>
    <w:r>
      <w:rPr>
        <w:rFonts w:cs="Arial"/>
        <w:sz w:val="20"/>
        <w:szCs w:val="20"/>
      </w:rPr>
      <w:t xml:space="preserve">, nº </w:t>
    </w:r>
    <w:r>
      <w:rPr>
        <w:rFonts w:cs="Arial"/>
        <w:sz w:val="20"/>
        <w:szCs w:val="20"/>
      </w:rPr>
      <w:t xml:space="preserve">9</w:t>
    </w:r>
    <w:r>
      <w:rPr>
        <w:rFonts w:cs="Arial"/>
        <w:sz w:val="20"/>
        <w:szCs w:val="20"/>
      </w:rPr>
      <w:t xml:space="preserve">79</w:t>
    </w:r>
    <w:r>
      <w:rPr>
        <w:rFonts w:cs="Arial"/>
        <w:sz w:val="20"/>
        <w:szCs w:val="20"/>
      </w:rPr>
      <w:t xml:space="preserve"> </w:t>
    </w:r>
    <w:r>
      <w:rPr>
        <w:rFonts w:cs="Arial"/>
        <w:sz w:val="20"/>
        <w:szCs w:val="20"/>
      </w:rPr>
      <w:t xml:space="preserve">–</w:t>
    </w:r>
    <w:r>
      <w:rPr>
        <w:rFonts w:cs="Arial"/>
        <w:sz w:val="20"/>
        <w:szCs w:val="20"/>
      </w:rPr>
      <w:t xml:space="preserve"> </w:t>
    </w:r>
    <w:r>
      <w:rPr>
        <w:rFonts w:cs="Arial"/>
        <w:sz w:val="20"/>
        <w:szCs w:val="20"/>
      </w:rPr>
      <w:t xml:space="preserve">Bairro Centro - </w:t>
    </w:r>
    <w:r>
      <w:rPr>
        <w:rFonts w:cs="Arial"/>
        <w:sz w:val="20"/>
        <w:szCs w:val="20"/>
      </w:rPr>
      <w:t xml:space="preserve">CEP 96</w:t>
    </w:r>
    <w:r>
      <w:rPr>
        <w:rFonts w:cs="Arial"/>
        <w:sz w:val="20"/>
        <w:szCs w:val="20"/>
      </w:rPr>
      <w:t xml:space="preserve">.600</w:t>
    </w:r>
    <w:r>
      <w:rPr>
        <w:rFonts w:cs="Arial"/>
        <w:sz w:val="20"/>
        <w:szCs w:val="20"/>
      </w:rPr>
      <w:t xml:space="preserve">-</w:t>
    </w:r>
    <w:r>
      <w:rPr>
        <w:rFonts w:cs="Arial"/>
        <w:sz w:val="20"/>
        <w:szCs w:val="20"/>
      </w:rPr>
      <w:t xml:space="preserve">000</w:t>
    </w:r>
    <w:r>
      <w:rPr>
        <w:rFonts w:cs="Arial"/>
        <w:sz w:val="20"/>
        <w:szCs w:val="20"/>
      </w:rPr>
      <w:t xml:space="preserve"> - </w:t>
    </w:r>
    <w:r>
      <w:rPr>
        <w:rFonts w:cs="Arial"/>
        <w:sz w:val="20"/>
        <w:szCs w:val="20"/>
      </w:rPr>
      <w:t xml:space="preserve">Canguçu</w:t>
    </w:r>
    <w:r>
      <w:rPr>
        <w:rFonts w:cs="Arial"/>
        <w:sz w:val="20"/>
        <w:szCs w:val="20"/>
      </w:rPr>
      <w:t xml:space="preserve">, </w:t>
    </w:r>
    <w:r>
      <w:rPr>
        <w:rFonts w:cs="Arial"/>
        <w:sz w:val="20"/>
        <w:szCs w:val="20"/>
      </w:rPr>
      <w:t xml:space="preserve">RS</w:t>
    </w:r>
    <w:r>
      <w:rPr>
        <w:rFonts w:cs="Arial"/>
        <w:sz w:val="20"/>
        <w:szCs w:val="20"/>
      </w:rPr>
    </w:r>
    <w:r>
      <w:rPr>
        <w:rFonts w:cs="Arial"/>
        <w:sz w:val="20"/>
        <w:szCs w:val="20"/>
      </w:rPr>
    </w:r>
  </w:p>
  <w:p>
    <w:pPr>
      <w:pStyle w:val="960"/>
      <w:jc w:val="center"/>
      <w:rPr>
        <w:rFonts w:cs="Arial"/>
        <w:sz w:val="20"/>
        <w:szCs w:val="20"/>
      </w:rPr>
    </w:pPr>
    <w:r>
      <w:rPr>
        <w:rFonts w:cs="Arial"/>
        <w:i/>
        <w:sz w:val="20"/>
        <w:szCs w:val="20"/>
      </w:rPr>
      <w:t xml:space="preserve">Fone: </w:t>
    </w:r>
    <w:r>
      <w:rPr>
        <w:rFonts w:cs="Arial"/>
        <w:sz w:val="20"/>
        <w:szCs w:val="20"/>
      </w:rPr>
      <w:t xml:space="preserve">(5</w:t>
    </w:r>
    <w:r>
      <w:rPr>
        <w:rFonts w:cs="Arial"/>
        <w:sz w:val="20"/>
        <w:szCs w:val="20"/>
      </w:rPr>
      <w:t xml:space="preserve">3</w:t>
    </w:r>
    <w:r>
      <w:rPr>
        <w:rFonts w:cs="Arial"/>
        <w:sz w:val="20"/>
        <w:szCs w:val="20"/>
      </w:rPr>
      <w:t xml:space="preserve">) </w:t>
    </w:r>
    <w:r>
      <w:rPr>
        <w:rFonts w:cs="Arial"/>
        <w:sz w:val="20"/>
        <w:szCs w:val="20"/>
      </w:rPr>
      <w:t xml:space="preserve">3252-1528</w:t>
    </w:r>
    <w:r>
      <w:rPr>
        <w:rFonts w:cs="Arial"/>
        <w:sz w:val="20"/>
        <w:szCs w:val="20"/>
      </w:rPr>
      <w:t xml:space="preserve"> </w:t>
    </w:r>
    <w:r>
      <w:rPr>
        <w:rFonts w:cs="Arial"/>
        <w:sz w:val="20"/>
        <w:szCs w:val="20"/>
      </w:rPr>
    </w:r>
    <w:r>
      <w:rPr>
        <w:rFonts w:cs="Arial"/>
        <w:sz w:val="20"/>
        <w:szCs w:val="20"/>
      </w:rPr>
    </w:r>
  </w:p>
  <w:p>
    <w:pPr>
      <w:pStyle w:val="960"/>
      <w:jc w:val="center"/>
      <w:rPr>
        <w:rFonts w:cs="Arial"/>
        <w:sz w:val="20"/>
        <w:szCs w:val="20"/>
      </w:rPr>
    </w:pPr>
    <w:r>
      <w:rPr>
        <w:rFonts w:cs="Arial"/>
        <w:i/>
        <w:sz w:val="20"/>
        <w:szCs w:val="20"/>
      </w:rPr>
      <w:t xml:space="preserve">Site:</w:t>
    </w:r>
    <w:r>
      <w:rPr>
        <w:rFonts w:cs="Arial"/>
        <w:sz w:val="20"/>
        <w:szCs w:val="20"/>
      </w:rPr>
      <w:t xml:space="preserve"> </w:t>
    </w:r>
    <w:r>
      <w:rPr>
        <w:rFonts w:cs="Arial"/>
        <w:sz w:val="20"/>
        <w:szCs w:val="20"/>
      </w:rPr>
      <w:t xml:space="preserve">https://camaracangucu.com.br</w:t>
    </w:r>
    <w:r>
      <w:rPr>
        <w:rFonts w:cs="Arial"/>
        <w:sz w:val="20"/>
        <w:szCs w:val="20"/>
      </w:rPr>
    </w:r>
    <w:r>
      <w:rPr>
        <w:rFonts w:cs="Arial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W w:w="0" w:type="auto"/>
      <w:jc w:val="center"/>
      <w:tblInd w:w="0" w:type="dxa"/>
      <w:tblLayout w:type="autofit"/>
      <w:tblCellMar>
        <w:left w:w="108" w:type="dxa"/>
        <w:top w:w="0" w:type="dxa"/>
        <w:right w:w="108" w:type="dxa"/>
        <w:bottom w:w="0" w:type="dxa"/>
      </w:tblCellMar>
      <w:tblLook w:val="04A0" w:firstRow="1" w:lastRow="0" w:firstColumn="1" w:lastColumn="0" w:noHBand="0" w:noVBand="1"/>
    </w:tblPr>
    <w:tblGrid>
      <w:gridCol w:w="1647"/>
      <w:gridCol w:w="5568"/>
    </w:tblGrid>
    <w:tr>
      <w:trPr/>
      <w:tc>
        <w:tcPr>
          <w:tcBorders>
            <w:top w:val="none" w:color="000000" w:sz="0" w:space="0"/>
            <w:left w:val="none" w:color="000000" w:sz="0" w:space="0"/>
            <w:bottom w:val="none" w:color="000000" w:sz="0" w:space="0"/>
            <w:right w:val="none" w:color="000000" w:sz="0" w:space="0"/>
          </w:tcBorders>
          <w:tcW w:w="1647" w:type="dxa"/>
          <w:vAlign w:val="center"/>
          <w:textDirection w:val="lrTb"/>
          <w:noWrap w:val="false"/>
        </w:tcPr>
        <w:p>
          <w:pPr>
            <w:pStyle w:val="951"/>
            <w:ind w:right="290"/>
            <w:jc w:val="center"/>
          </w:pPr>
          <w:r>
            <mc:AlternateContent>
              <mc:Choice Requires="wpg">
                <w:drawing>
                  <wp:inline xmlns:wp="http://schemas.openxmlformats.org/drawingml/2006/wordprocessingDrawing" distT="0" distB="0" distL="0" distR="0">
                    <wp:extent cx="724205" cy="743407"/>
                    <wp:effectExtent l="0" t="0" r="0" b="0"/>
                    <wp:docPr id="1" name="_x0000_i1026"/>
                    <wp:cNvGraphicFramePr/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"/>
                            <pic:cNvPicPr/>
                            <pic:nvPr/>
                          </pic:nvPicPr>
                          <pic:blipFill>
                            <a:blip r:embed="rId1"/>
                            <a:stretch/>
                          </pic:blipFill>
                          <pic:spPr bwMode="auto">
                            <a:xfrm>
                              <a:off x="0" y="0"/>
                              <a:ext cx="724205" cy="74340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mc:Choice>
              <mc:Fallback>
                <w:pict>
                  <v:shapetype type="#_x0000_t75" o:spt="75" coordsize="21600,21600" o:preferrelative="t" path="m@4@5l@4@11@9@11@9@5xe"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</v:shapetype>
                  <v:shape id="_x0000_i0" o:spid="_x0000_s0" type="#_x0000_t75" style="width:57.02pt;height:58.54pt;mso-wrap-distance-left:0.00pt;mso-wrap-distance-top:0.00pt;mso-wrap-distance-right:0.00pt;mso-wrap-distance-bottom:0.00pt;" stroked="f">
                    <v:path textboxrect="0,0,0,0"/>
                    <v:imagedata r:id="rId1" o:title=""/>
                  </v:shape>
                </w:pict>
              </mc:Fallback>
            </mc:AlternateContent>
          </w:r>
          <w:r/>
        </w:p>
        <w:p>
          <w:pPr>
            <w:pStyle w:val="958"/>
            <w:jc w:val="center"/>
            <w:rPr>
              <w:rFonts w:ascii="Bell MT" w:hAnsi="Bell MT"/>
              <w:sz w:val="22"/>
            </w:rPr>
          </w:pPr>
          <w:r>
            <w:rPr>
              <w:rFonts w:ascii="Bell MT" w:hAnsi="Bell MT"/>
              <w:sz w:val="22"/>
            </w:rPr>
          </w:r>
          <w:r>
            <w:rPr>
              <w:rFonts w:ascii="Bell MT" w:hAnsi="Bell MT"/>
              <w:sz w:val="22"/>
            </w:rPr>
          </w:r>
          <w:r>
            <w:rPr>
              <w:rFonts w:ascii="Bell MT" w:hAnsi="Bell MT"/>
              <w:sz w:val="22"/>
            </w:rPr>
          </w:r>
        </w:p>
      </w:tc>
      <w:tc>
        <w:tcPr>
          <w:tcBorders>
            <w:top w:val="none" w:color="000000" w:sz="0" w:space="0"/>
            <w:left w:val="none" w:color="000000" w:sz="0" w:space="0"/>
            <w:bottom w:val="none" w:color="000000" w:sz="0" w:space="0"/>
            <w:right w:val="none" w:color="000000" w:sz="0" w:space="0"/>
          </w:tcBorders>
          <w:tcW w:w="5568" w:type="dxa"/>
          <w:vAlign w:val="center"/>
          <w:textDirection w:val="lrTb"/>
          <w:noWrap w:val="false"/>
        </w:tcPr>
        <w:p>
          <w:pPr>
            <w:pStyle w:val="958"/>
            <w:jc w:val="center"/>
            <w:rPr>
              <w:rFonts w:ascii="Bell MT" w:hAnsi="Bell MT"/>
              <w:b/>
              <w:sz w:val="40"/>
              <w:szCs w:val="40"/>
            </w:rPr>
          </w:pPr>
          <w:r>
            <w:rPr>
              <w:rFonts w:ascii="Bell MT" w:hAnsi="Bell MT"/>
              <w:b/>
              <w:sz w:val="40"/>
              <w:szCs w:val="40"/>
            </w:rPr>
            <w:t xml:space="preserve">Câmara Municipal</w:t>
          </w:r>
          <w:r>
            <w:rPr>
              <w:rFonts w:ascii="Bell MT" w:hAnsi="Bell MT"/>
              <w:b/>
              <w:sz w:val="40"/>
              <w:szCs w:val="40"/>
            </w:rPr>
            <w:t xml:space="preserve"> de </w:t>
          </w:r>
          <w:r>
            <w:rPr>
              <w:rFonts w:ascii="Bell MT" w:hAnsi="Bell MT"/>
              <w:b/>
              <w:sz w:val="40"/>
              <w:szCs w:val="40"/>
            </w:rPr>
            <w:t xml:space="preserve">Canguçu</w:t>
          </w:r>
          <w:r>
            <w:rPr>
              <w:rFonts w:ascii="Bell MT" w:hAnsi="Bell MT"/>
              <w:b/>
              <w:sz w:val="40"/>
              <w:szCs w:val="40"/>
            </w:rPr>
          </w:r>
          <w:r>
            <w:rPr>
              <w:rFonts w:ascii="Bell MT" w:hAnsi="Bell MT"/>
              <w:b/>
              <w:sz w:val="40"/>
              <w:szCs w:val="40"/>
            </w:rPr>
          </w:r>
        </w:p>
        <w:p>
          <w:pPr>
            <w:pStyle w:val="958"/>
            <w:jc w:val="center"/>
            <w:rPr>
              <w:rFonts w:ascii="Bell MT" w:hAnsi="Bell MT"/>
              <w:sz w:val="40"/>
              <w:szCs w:val="40"/>
            </w:rPr>
          </w:pPr>
          <w:r>
            <w:rPr>
              <w:rFonts w:ascii="Bell MT" w:hAnsi="Bell MT"/>
              <w:sz w:val="40"/>
              <w:szCs w:val="40"/>
            </w:rPr>
            <w:t xml:space="preserve">Estado do Rio Grande do Sul</w:t>
          </w:r>
          <w:r>
            <w:rPr>
              <w:rFonts w:ascii="Bell MT" w:hAnsi="Bell MT"/>
              <w:sz w:val="40"/>
              <w:szCs w:val="40"/>
            </w:rPr>
          </w:r>
          <w:r>
            <w:rPr>
              <w:rFonts w:ascii="Bell MT" w:hAnsi="Bell MT"/>
              <w:sz w:val="40"/>
              <w:szCs w:val="40"/>
            </w:rPr>
          </w:r>
        </w:p>
      </w:tc>
    </w:tr>
  </w:tbl>
  <w:p>
    <w:pPr>
      <w:pStyle w:val="958"/>
      <w:rPr>
        <w:rFonts w:ascii="Bell MT" w:hAnsi="Bell MT"/>
        <w:sz w:val="20"/>
        <w:szCs w:val="20"/>
      </w:rPr>
    </w:pPr>
    <w:r>
      <w:rPr>
        <w:rFonts w:ascii="Bell MT" w:hAnsi="Bell MT"/>
        <w:sz w:val="20"/>
        <w:szCs w:val="20"/>
      </w:rPr>
    </w:r>
    <w:r>
      <w:rPr>
        <w:rFonts w:ascii="Bell MT" w:hAnsi="Bell MT"/>
        <w:sz w:val="20"/>
        <w:szCs w:val="20"/>
      </w:rPr>
    </w:r>
    <w:r>
      <w:rPr>
        <w:rFonts w:ascii="Bell MT" w:hAnsi="Bell MT"/>
        <w:sz w:val="20"/>
        <w:szCs w:val="20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1">
      <w:start w:val="1"/>
      <w:numFmt w:val="decimal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2">
      <w:start w:val="1"/>
      <w:numFmt w:val="decimal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3">
      <w:start w:val="1"/>
      <w:numFmt w:val="decimal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4">
      <w:start w:val="1"/>
      <w:numFmt w:val="decimal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5">
      <w:start w:val="1"/>
      <w:numFmt w:val="decimal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6">
      <w:start w:val="1"/>
      <w:numFmt w:val="decimal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7">
      <w:start w:val="1"/>
      <w:numFmt w:val="decimal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  <w:lvl w:ilvl="8">
      <w:start w:val="1"/>
      <w:numFmt w:val="decimal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</w:lvl>
  </w:abstractNum>
  <w:abstractNum w:abstractNumId="1">
    <w:multiLevelType w:val="hybridMultilevel"/>
    <w:lvl w:ilvl="0">
      <w:start w:val="2"/>
      <w:numFmt w:val="bullet"/>
      <w:isLgl w:val="false"/>
      <w:suff w:val="tab"/>
      <w:lvlText w:val="-"/>
      <w:lvlJc w:val="left"/>
      <w:pPr>
        <w:ind w:left="360" w:hanging="360"/>
        <w:tabs>
          <w:tab w:val="num" w:pos="360" w:leader="none"/>
        </w:tabs>
      </w:pPr>
      <w:rPr>
        <w:rFonts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multiLevelType w:val="hybridMultilevel"/>
    <w:lvl w:ilvl="0">
      <w:start w:val="2"/>
      <w:numFmt w:val="bullet"/>
      <w:isLgl w:val="false"/>
      <w:suff w:val="tab"/>
      <w:lvlText w:val="-"/>
      <w:lvlJc w:val="left"/>
      <w:pPr>
        <w:ind w:left="360" w:hanging="360"/>
        <w:tabs>
          <w:tab w:val="num" w:pos="360" w:leader="none"/>
        </w:tabs>
      </w:pPr>
      <w:rPr>
        <w:rFonts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</w:num>
  <w:num w:numId="3">
    <w:abstractNumId w:val="4"/>
  </w:num>
  <w:num w:numId="4">
    <w:abstractNumId w:val="1"/>
  </w:num>
  <w:num w:numId="5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pt-BR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74">
    <w:name w:val="Heading 1"/>
    <w:basedOn w:val="951"/>
    <w:next w:val="951"/>
    <w:link w:val="77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75">
    <w:name w:val="Heading 1 Char"/>
    <w:link w:val="774"/>
    <w:uiPriority w:val="9"/>
    <w:rPr>
      <w:rFonts w:ascii="Arial" w:hAnsi="Arial" w:eastAsia="Arial" w:cs="Arial"/>
      <w:sz w:val="40"/>
      <w:szCs w:val="40"/>
    </w:rPr>
  </w:style>
  <w:style w:type="paragraph" w:styleId="776">
    <w:name w:val="Heading 2"/>
    <w:basedOn w:val="951"/>
    <w:next w:val="951"/>
    <w:link w:val="77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77">
    <w:name w:val="Heading 2 Char"/>
    <w:link w:val="776"/>
    <w:uiPriority w:val="9"/>
    <w:rPr>
      <w:rFonts w:ascii="Arial" w:hAnsi="Arial" w:eastAsia="Arial" w:cs="Arial"/>
      <w:sz w:val="34"/>
    </w:rPr>
  </w:style>
  <w:style w:type="paragraph" w:styleId="778">
    <w:name w:val="Heading 3"/>
    <w:basedOn w:val="951"/>
    <w:next w:val="951"/>
    <w:link w:val="77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79">
    <w:name w:val="Heading 3 Char"/>
    <w:link w:val="778"/>
    <w:uiPriority w:val="9"/>
    <w:rPr>
      <w:rFonts w:ascii="Arial" w:hAnsi="Arial" w:eastAsia="Arial" w:cs="Arial"/>
      <w:sz w:val="30"/>
      <w:szCs w:val="30"/>
    </w:rPr>
  </w:style>
  <w:style w:type="paragraph" w:styleId="780">
    <w:name w:val="Heading 4"/>
    <w:basedOn w:val="951"/>
    <w:next w:val="951"/>
    <w:link w:val="78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81">
    <w:name w:val="Heading 4 Char"/>
    <w:link w:val="780"/>
    <w:uiPriority w:val="9"/>
    <w:rPr>
      <w:rFonts w:ascii="Arial" w:hAnsi="Arial" w:eastAsia="Arial" w:cs="Arial"/>
      <w:b/>
      <w:bCs/>
      <w:sz w:val="26"/>
      <w:szCs w:val="26"/>
    </w:rPr>
  </w:style>
  <w:style w:type="paragraph" w:styleId="782">
    <w:name w:val="Heading 5"/>
    <w:basedOn w:val="951"/>
    <w:next w:val="951"/>
    <w:link w:val="78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83">
    <w:name w:val="Heading 5 Char"/>
    <w:link w:val="782"/>
    <w:uiPriority w:val="9"/>
    <w:rPr>
      <w:rFonts w:ascii="Arial" w:hAnsi="Arial" w:eastAsia="Arial" w:cs="Arial"/>
      <w:b/>
      <w:bCs/>
      <w:sz w:val="24"/>
      <w:szCs w:val="24"/>
    </w:rPr>
  </w:style>
  <w:style w:type="paragraph" w:styleId="784">
    <w:name w:val="Heading 6"/>
    <w:basedOn w:val="951"/>
    <w:next w:val="951"/>
    <w:link w:val="78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85">
    <w:name w:val="Heading 6 Char"/>
    <w:link w:val="784"/>
    <w:uiPriority w:val="9"/>
    <w:rPr>
      <w:rFonts w:ascii="Arial" w:hAnsi="Arial" w:eastAsia="Arial" w:cs="Arial"/>
      <w:b/>
      <w:bCs/>
      <w:sz w:val="22"/>
      <w:szCs w:val="22"/>
    </w:rPr>
  </w:style>
  <w:style w:type="paragraph" w:styleId="786">
    <w:name w:val="Heading 7"/>
    <w:basedOn w:val="951"/>
    <w:next w:val="951"/>
    <w:link w:val="78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87">
    <w:name w:val="Heading 7 Char"/>
    <w:link w:val="78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88">
    <w:name w:val="Heading 8"/>
    <w:basedOn w:val="951"/>
    <w:next w:val="951"/>
    <w:link w:val="78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89">
    <w:name w:val="Heading 8 Char"/>
    <w:link w:val="788"/>
    <w:uiPriority w:val="9"/>
    <w:rPr>
      <w:rFonts w:ascii="Arial" w:hAnsi="Arial" w:eastAsia="Arial" w:cs="Arial"/>
      <w:i/>
      <w:iCs/>
      <w:sz w:val="22"/>
      <w:szCs w:val="22"/>
    </w:rPr>
  </w:style>
  <w:style w:type="paragraph" w:styleId="790">
    <w:name w:val="Heading 9"/>
    <w:basedOn w:val="951"/>
    <w:next w:val="951"/>
    <w:link w:val="79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91">
    <w:name w:val="Heading 9 Char"/>
    <w:link w:val="790"/>
    <w:uiPriority w:val="9"/>
    <w:rPr>
      <w:rFonts w:ascii="Arial" w:hAnsi="Arial" w:eastAsia="Arial" w:cs="Arial"/>
      <w:i/>
      <w:iCs/>
      <w:sz w:val="21"/>
      <w:szCs w:val="21"/>
    </w:rPr>
  </w:style>
  <w:style w:type="paragraph" w:styleId="792">
    <w:name w:val="List Paragraph"/>
    <w:basedOn w:val="951"/>
    <w:uiPriority w:val="34"/>
    <w:qFormat/>
    <w:pPr>
      <w:contextualSpacing/>
      <w:ind w:left="720"/>
    </w:pPr>
  </w:style>
  <w:style w:type="paragraph" w:styleId="793">
    <w:name w:val="No Spacing"/>
    <w:uiPriority w:val="1"/>
    <w:qFormat/>
    <w:pPr>
      <w:spacing w:before="0" w:after="0" w:line="240" w:lineRule="auto"/>
    </w:pPr>
  </w:style>
  <w:style w:type="paragraph" w:styleId="794">
    <w:name w:val="Title"/>
    <w:basedOn w:val="951"/>
    <w:next w:val="951"/>
    <w:link w:val="79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95">
    <w:name w:val="Title Char"/>
    <w:link w:val="794"/>
    <w:uiPriority w:val="10"/>
    <w:rPr>
      <w:sz w:val="48"/>
      <w:szCs w:val="48"/>
    </w:rPr>
  </w:style>
  <w:style w:type="paragraph" w:styleId="796">
    <w:name w:val="Subtitle"/>
    <w:basedOn w:val="951"/>
    <w:next w:val="951"/>
    <w:link w:val="797"/>
    <w:uiPriority w:val="11"/>
    <w:qFormat/>
    <w:pPr>
      <w:spacing w:before="200" w:after="200"/>
    </w:pPr>
    <w:rPr>
      <w:sz w:val="24"/>
      <w:szCs w:val="24"/>
    </w:rPr>
  </w:style>
  <w:style w:type="character" w:styleId="797">
    <w:name w:val="Subtitle Char"/>
    <w:link w:val="796"/>
    <w:uiPriority w:val="11"/>
    <w:rPr>
      <w:sz w:val="24"/>
      <w:szCs w:val="24"/>
    </w:rPr>
  </w:style>
  <w:style w:type="paragraph" w:styleId="798">
    <w:name w:val="Quote"/>
    <w:basedOn w:val="951"/>
    <w:next w:val="951"/>
    <w:link w:val="799"/>
    <w:uiPriority w:val="29"/>
    <w:qFormat/>
    <w:pPr>
      <w:ind w:left="720" w:right="720"/>
    </w:pPr>
    <w:rPr>
      <w:i/>
    </w:rPr>
  </w:style>
  <w:style w:type="character" w:styleId="799">
    <w:name w:val="Quote Char"/>
    <w:link w:val="798"/>
    <w:uiPriority w:val="29"/>
    <w:rPr>
      <w:i/>
    </w:rPr>
  </w:style>
  <w:style w:type="paragraph" w:styleId="800">
    <w:name w:val="Intense Quote"/>
    <w:basedOn w:val="951"/>
    <w:next w:val="951"/>
    <w:link w:val="80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01">
    <w:name w:val="Intense Quote Char"/>
    <w:link w:val="800"/>
    <w:uiPriority w:val="30"/>
    <w:rPr>
      <w:i/>
    </w:rPr>
  </w:style>
  <w:style w:type="paragraph" w:styleId="802">
    <w:name w:val="Header"/>
    <w:basedOn w:val="951"/>
    <w:link w:val="80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803">
    <w:name w:val="Header Char"/>
    <w:link w:val="802"/>
    <w:uiPriority w:val="99"/>
  </w:style>
  <w:style w:type="paragraph" w:styleId="804">
    <w:name w:val="Footer"/>
    <w:basedOn w:val="951"/>
    <w:link w:val="80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805">
    <w:name w:val="Footer Char"/>
    <w:link w:val="804"/>
    <w:uiPriority w:val="99"/>
  </w:style>
  <w:style w:type="paragraph" w:styleId="806">
    <w:name w:val="Caption"/>
    <w:basedOn w:val="951"/>
    <w:next w:val="95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07">
    <w:name w:val="Caption Char"/>
    <w:basedOn w:val="806"/>
    <w:link w:val="804"/>
    <w:uiPriority w:val="99"/>
  </w:style>
  <w:style w:type="table" w:styleId="808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09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10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11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12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13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15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37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38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39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40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41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42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3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4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5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46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47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48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49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50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51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52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53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54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55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56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57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5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9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0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1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72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73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74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75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76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77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78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9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0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1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2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3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4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5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6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7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8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9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0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1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2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3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4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5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6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7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8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9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900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901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902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903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904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905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906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907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908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909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910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911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912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913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14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15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16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17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18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19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20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21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22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23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24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25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26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27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28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29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30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31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32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33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934">
    <w:name w:val="footnote text"/>
    <w:basedOn w:val="951"/>
    <w:link w:val="935"/>
    <w:uiPriority w:val="99"/>
    <w:semiHidden/>
    <w:unhideWhenUsed/>
    <w:pPr>
      <w:spacing w:after="40" w:line="240" w:lineRule="auto"/>
    </w:pPr>
    <w:rPr>
      <w:sz w:val="18"/>
    </w:rPr>
  </w:style>
  <w:style w:type="character" w:styleId="935">
    <w:name w:val="Footnote Text Char"/>
    <w:link w:val="934"/>
    <w:uiPriority w:val="99"/>
    <w:rPr>
      <w:sz w:val="18"/>
    </w:rPr>
  </w:style>
  <w:style w:type="character" w:styleId="936">
    <w:name w:val="footnote reference"/>
    <w:uiPriority w:val="99"/>
    <w:unhideWhenUsed/>
    <w:rPr>
      <w:vertAlign w:val="superscript"/>
    </w:rPr>
  </w:style>
  <w:style w:type="paragraph" w:styleId="937">
    <w:name w:val="endnote text"/>
    <w:basedOn w:val="951"/>
    <w:link w:val="938"/>
    <w:uiPriority w:val="99"/>
    <w:semiHidden/>
    <w:unhideWhenUsed/>
    <w:pPr>
      <w:spacing w:after="0" w:line="240" w:lineRule="auto"/>
    </w:pPr>
    <w:rPr>
      <w:sz w:val="20"/>
    </w:rPr>
  </w:style>
  <w:style w:type="character" w:styleId="938">
    <w:name w:val="Endnote Text Char"/>
    <w:link w:val="937"/>
    <w:uiPriority w:val="99"/>
    <w:rPr>
      <w:sz w:val="20"/>
    </w:rPr>
  </w:style>
  <w:style w:type="character" w:styleId="939">
    <w:name w:val="endnote reference"/>
    <w:uiPriority w:val="99"/>
    <w:semiHidden/>
    <w:unhideWhenUsed/>
    <w:rPr>
      <w:vertAlign w:val="superscript"/>
    </w:rPr>
  </w:style>
  <w:style w:type="paragraph" w:styleId="940">
    <w:name w:val="toc 1"/>
    <w:basedOn w:val="951"/>
    <w:next w:val="951"/>
    <w:uiPriority w:val="39"/>
    <w:unhideWhenUsed/>
    <w:pPr>
      <w:ind w:left="0" w:right="0" w:firstLine="0"/>
      <w:spacing w:after="57"/>
    </w:pPr>
  </w:style>
  <w:style w:type="paragraph" w:styleId="941">
    <w:name w:val="toc 2"/>
    <w:basedOn w:val="951"/>
    <w:next w:val="951"/>
    <w:uiPriority w:val="39"/>
    <w:unhideWhenUsed/>
    <w:pPr>
      <w:ind w:left="283" w:right="0" w:firstLine="0"/>
      <w:spacing w:after="57"/>
    </w:pPr>
  </w:style>
  <w:style w:type="paragraph" w:styleId="942">
    <w:name w:val="toc 3"/>
    <w:basedOn w:val="951"/>
    <w:next w:val="951"/>
    <w:uiPriority w:val="39"/>
    <w:unhideWhenUsed/>
    <w:pPr>
      <w:ind w:left="567" w:right="0" w:firstLine="0"/>
      <w:spacing w:after="57"/>
    </w:pPr>
  </w:style>
  <w:style w:type="paragraph" w:styleId="943">
    <w:name w:val="toc 4"/>
    <w:basedOn w:val="951"/>
    <w:next w:val="951"/>
    <w:uiPriority w:val="39"/>
    <w:unhideWhenUsed/>
    <w:pPr>
      <w:ind w:left="850" w:right="0" w:firstLine="0"/>
      <w:spacing w:after="57"/>
    </w:pPr>
  </w:style>
  <w:style w:type="paragraph" w:styleId="944">
    <w:name w:val="toc 5"/>
    <w:basedOn w:val="951"/>
    <w:next w:val="951"/>
    <w:uiPriority w:val="39"/>
    <w:unhideWhenUsed/>
    <w:pPr>
      <w:ind w:left="1134" w:right="0" w:firstLine="0"/>
      <w:spacing w:after="57"/>
    </w:pPr>
  </w:style>
  <w:style w:type="paragraph" w:styleId="945">
    <w:name w:val="toc 6"/>
    <w:basedOn w:val="951"/>
    <w:next w:val="951"/>
    <w:uiPriority w:val="39"/>
    <w:unhideWhenUsed/>
    <w:pPr>
      <w:ind w:left="1417" w:right="0" w:firstLine="0"/>
      <w:spacing w:after="57"/>
    </w:pPr>
  </w:style>
  <w:style w:type="paragraph" w:styleId="946">
    <w:name w:val="toc 7"/>
    <w:basedOn w:val="951"/>
    <w:next w:val="951"/>
    <w:uiPriority w:val="39"/>
    <w:unhideWhenUsed/>
    <w:pPr>
      <w:ind w:left="1701" w:right="0" w:firstLine="0"/>
      <w:spacing w:after="57"/>
    </w:pPr>
  </w:style>
  <w:style w:type="paragraph" w:styleId="947">
    <w:name w:val="toc 8"/>
    <w:basedOn w:val="951"/>
    <w:next w:val="951"/>
    <w:uiPriority w:val="39"/>
    <w:unhideWhenUsed/>
    <w:pPr>
      <w:ind w:left="1984" w:right="0" w:firstLine="0"/>
      <w:spacing w:after="57"/>
    </w:pPr>
  </w:style>
  <w:style w:type="paragraph" w:styleId="948">
    <w:name w:val="toc 9"/>
    <w:basedOn w:val="951"/>
    <w:next w:val="951"/>
    <w:uiPriority w:val="39"/>
    <w:unhideWhenUsed/>
    <w:pPr>
      <w:ind w:left="2268" w:right="0" w:firstLine="0"/>
      <w:spacing w:after="57"/>
    </w:pPr>
  </w:style>
  <w:style w:type="paragraph" w:styleId="949">
    <w:name w:val="TOC Heading"/>
    <w:uiPriority w:val="39"/>
    <w:unhideWhenUsed/>
  </w:style>
  <w:style w:type="paragraph" w:styleId="950">
    <w:name w:val="table of figures"/>
    <w:basedOn w:val="951"/>
    <w:next w:val="951"/>
    <w:uiPriority w:val="99"/>
    <w:unhideWhenUsed/>
    <w:pPr>
      <w:spacing w:after="0" w:afterAutospacing="0"/>
    </w:pPr>
  </w:style>
  <w:style w:type="paragraph" w:styleId="951" w:default="1">
    <w:name w:val="Normal"/>
    <w:next w:val="951"/>
    <w:link w:val="951"/>
    <w:qFormat/>
    <w:pPr>
      <w:jc w:val="both"/>
    </w:pPr>
    <w:rPr>
      <w:rFonts w:ascii="Arial" w:hAnsi="Arial"/>
      <w:sz w:val="24"/>
      <w:szCs w:val="22"/>
      <w:lang w:val="pt-BR" w:eastAsia="en-US" w:bidi="ar-SA"/>
    </w:rPr>
  </w:style>
  <w:style w:type="paragraph" w:styleId="952">
    <w:name w:val="Título 1"/>
    <w:basedOn w:val="951"/>
    <w:next w:val="951"/>
    <w:link w:val="966"/>
    <w:qFormat/>
    <w:pPr>
      <w:jc w:val="center"/>
      <w:keepNext/>
      <w:widowControl w:val="off"/>
      <w:tabs>
        <w:tab w:val="num" w:pos="360" w:leader="none"/>
      </w:tabs>
      <w:outlineLvl w:val="0"/>
    </w:pPr>
    <w:rPr>
      <w:rFonts w:eastAsia="Times New Roman"/>
      <w:szCs w:val="24"/>
      <w:u w:val="single"/>
      <w:lang w:val="en-US" w:eastAsia="ar-SA"/>
    </w:rPr>
  </w:style>
  <w:style w:type="paragraph" w:styleId="953">
    <w:name w:val="Título 2"/>
    <w:basedOn w:val="951"/>
    <w:next w:val="951"/>
    <w:link w:val="969"/>
    <w:uiPriority w:val="9"/>
    <w:semiHidden/>
    <w:unhideWhenUsed/>
    <w:qFormat/>
    <w:pPr>
      <w:keepNext/>
      <w:spacing w:before="240" w:after="60"/>
      <w:outlineLvl w:val="1"/>
    </w:pPr>
    <w:rPr>
      <w:rFonts w:ascii="Cambria" w:hAnsi="Cambria" w:eastAsia="Times New Roman"/>
      <w:b/>
      <w:bCs/>
      <w:i/>
      <w:iCs/>
      <w:sz w:val="28"/>
      <w:szCs w:val="28"/>
      <w:lang w:val="en-US"/>
    </w:rPr>
  </w:style>
  <w:style w:type="paragraph" w:styleId="954">
    <w:name w:val="Título 3"/>
    <w:basedOn w:val="951"/>
    <w:next w:val="951"/>
    <w:link w:val="977"/>
    <w:uiPriority w:val="9"/>
    <w:semiHidden/>
    <w:unhideWhenUsed/>
    <w:qFormat/>
    <w:pPr>
      <w:keepNext/>
      <w:spacing w:before="240" w:after="60"/>
      <w:outlineLvl w:val="2"/>
    </w:pPr>
    <w:rPr>
      <w:rFonts w:ascii="Cambria" w:hAnsi="Cambria" w:eastAsia="Times New Roman"/>
      <w:b/>
      <w:bCs/>
      <w:sz w:val="26"/>
      <w:szCs w:val="26"/>
      <w:lang w:val="en-US"/>
    </w:rPr>
  </w:style>
  <w:style w:type="character" w:styleId="955">
    <w:name w:val="Fonte parág. padrão"/>
    <w:next w:val="955"/>
    <w:link w:val="951"/>
    <w:uiPriority w:val="1"/>
    <w:semiHidden/>
    <w:unhideWhenUsed/>
  </w:style>
  <w:style w:type="table" w:styleId="956">
    <w:name w:val="Tabela normal"/>
    <w:next w:val="956"/>
    <w:link w:val="951"/>
    <w:uiPriority w:val="99"/>
    <w:semiHidden/>
    <w:unhideWhenUsed/>
    <w:qFormat/>
    <w:tblPr/>
  </w:style>
  <w:style w:type="numbering" w:styleId="957">
    <w:name w:val="Sem lista"/>
    <w:next w:val="957"/>
    <w:link w:val="951"/>
    <w:uiPriority w:val="99"/>
    <w:semiHidden/>
    <w:unhideWhenUsed/>
  </w:style>
  <w:style w:type="paragraph" w:styleId="958">
    <w:name w:val="Cabeçalho"/>
    <w:basedOn w:val="951"/>
    <w:next w:val="958"/>
    <w:link w:val="959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59">
    <w:name w:val="Cabeçalho Char"/>
    <w:basedOn w:val="955"/>
    <w:next w:val="959"/>
    <w:link w:val="958"/>
    <w:uiPriority w:val="99"/>
  </w:style>
  <w:style w:type="paragraph" w:styleId="960">
    <w:name w:val="Rodapé"/>
    <w:basedOn w:val="951"/>
    <w:next w:val="960"/>
    <w:link w:val="961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61">
    <w:name w:val="Rodapé Char"/>
    <w:basedOn w:val="955"/>
    <w:next w:val="961"/>
    <w:link w:val="960"/>
    <w:uiPriority w:val="99"/>
  </w:style>
  <w:style w:type="table" w:styleId="962">
    <w:name w:val="Tabela com grade"/>
    <w:basedOn w:val="956"/>
    <w:next w:val="962"/>
    <w:link w:val="951"/>
    <w:uiPriority w:val="39"/>
    <w:pPr>
      <w:spacing w:after="0" w:line="240" w:lineRule="auto"/>
    </w:pPr>
    <w:tblPr/>
  </w:style>
  <w:style w:type="character" w:styleId="963">
    <w:name w:val="Hyperlink"/>
    <w:next w:val="963"/>
    <w:link w:val="951"/>
    <w:uiPriority w:val="99"/>
    <w:unhideWhenUsed/>
    <w:rPr>
      <w:color w:val="0563c1"/>
      <w:u w:val="single"/>
    </w:rPr>
  </w:style>
  <w:style w:type="paragraph" w:styleId="964">
    <w:name w:val="Texto de balão"/>
    <w:basedOn w:val="951"/>
    <w:next w:val="964"/>
    <w:link w:val="965"/>
    <w:uiPriority w:val="99"/>
    <w:semiHidden/>
    <w:unhideWhenUsed/>
    <w:rPr>
      <w:rFonts w:ascii="Tahoma" w:hAnsi="Tahoma"/>
      <w:sz w:val="16"/>
      <w:szCs w:val="16"/>
      <w:lang w:val="en-US" w:eastAsia="en-US"/>
    </w:rPr>
  </w:style>
  <w:style w:type="character" w:styleId="965">
    <w:name w:val="Texto de balão Char"/>
    <w:next w:val="965"/>
    <w:link w:val="964"/>
    <w:uiPriority w:val="99"/>
    <w:semiHidden/>
    <w:rPr>
      <w:rFonts w:ascii="Tahoma" w:hAnsi="Tahoma" w:cs="Tahoma"/>
      <w:sz w:val="16"/>
      <w:szCs w:val="16"/>
    </w:rPr>
  </w:style>
  <w:style w:type="character" w:styleId="966">
    <w:name w:val="Título 1 Char"/>
    <w:next w:val="966"/>
    <w:link w:val="952"/>
    <w:rPr>
      <w:rFonts w:ascii="Arial" w:hAnsi="Arial" w:eastAsia="Times New Roman"/>
      <w:sz w:val="24"/>
      <w:szCs w:val="24"/>
      <w:u w:val="single"/>
      <w:lang w:eastAsia="ar-SA"/>
    </w:rPr>
  </w:style>
  <w:style w:type="paragraph" w:styleId="967">
    <w:name w:val="Corpo de texto"/>
    <w:basedOn w:val="951"/>
    <w:next w:val="967"/>
    <w:link w:val="968"/>
    <w:semiHidden/>
    <w:unhideWhenUsed/>
    <w:rPr>
      <w:rFonts w:eastAsia="Times New Roman"/>
      <w:sz w:val="22"/>
      <w:szCs w:val="20"/>
      <w:lang w:val="en-US" w:eastAsia="ar-SA"/>
    </w:rPr>
  </w:style>
  <w:style w:type="character" w:styleId="968">
    <w:name w:val="Corpo de texto Char"/>
    <w:next w:val="968"/>
    <w:link w:val="967"/>
    <w:semiHidden/>
    <w:rPr>
      <w:rFonts w:ascii="Arial" w:hAnsi="Arial" w:eastAsia="Times New Roman" w:cs="Arial"/>
      <w:sz w:val="22"/>
      <w:lang w:eastAsia="ar-SA"/>
    </w:rPr>
  </w:style>
  <w:style w:type="character" w:styleId="969">
    <w:name w:val="Título 2 Char"/>
    <w:next w:val="969"/>
    <w:link w:val="953"/>
    <w:uiPriority w:val="9"/>
    <w:semiHidden/>
    <w:rPr>
      <w:rFonts w:ascii="Cambria" w:hAnsi="Cambria" w:eastAsia="Times New Roman" w:cs="Times New Roman"/>
      <w:b/>
      <w:bCs/>
      <w:i/>
      <w:iCs/>
      <w:sz w:val="28"/>
      <w:szCs w:val="28"/>
      <w:lang w:eastAsia="en-US"/>
    </w:rPr>
  </w:style>
  <w:style w:type="paragraph" w:styleId="970">
    <w:name w:val="Título"/>
    <w:basedOn w:val="951"/>
    <w:next w:val="951"/>
    <w:link w:val="971"/>
    <w:qFormat/>
    <w:pPr>
      <w:jc w:val="center"/>
      <w:spacing w:before="240" w:after="60"/>
      <w:outlineLvl w:val="0"/>
    </w:pPr>
    <w:rPr>
      <w:rFonts w:ascii="Cambria" w:hAnsi="Cambria" w:eastAsia="Times New Roman"/>
      <w:b/>
      <w:bCs/>
      <w:sz w:val="32"/>
      <w:szCs w:val="32"/>
      <w:lang w:val="en-US" w:eastAsia="en-US"/>
    </w:rPr>
  </w:style>
  <w:style w:type="character" w:styleId="971">
    <w:name w:val="Título Char"/>
    <w:next w:val="971"/>
    <w:link w:val="970"/>
    <w:rPr>
      <w:rFonts w:ascii="Cambria" w:hAnsi="Cambria" w:eastAsia="Times New Roman"/>
      <w:b/>
      <w:bCs/>
      <w:sz w:val="32"/>
      <w:szCs w:val="32"/>
      <w:lang w:val="en-US" w:eastAsia="en-US"/>
    </w:rPr>
  </w:style>
  <w:style w:type="paragraph" w:styleId="972">
    <w:name w:val="Recuo de corpo de texto"/>
    <w:basedOn w:val="951"/>
    <w:next w:val="972"/>
    <w:link w:val="973"/>
    <w:uiPriority w:val="99"/>
    <w:semiHidden/>
    <w:unhideWhenUsed/>
    <w:pPr>
      <w:ind w:left="283"/>
      <w:spacing w:after="120"/>
    </w:pPr>
    <w:rPr>
      <w:lang w:val="en-US"/>
    </w:rPr>
  </w:style>
  <w:style w:type="character" w:styleId="973">
    <w:name w:val="Recuo de corpo de texto Char"/>
    <w:next w:val="973"/>
    <w:link w:val="972"/>
    <w:uiPriority w:val="99"/>
    <w:semiHidden/>
    <w:rPr>
      <w:rFonts w:ascii="Arial" w:hAnsi="Arial"/>
      <w:sz w:val="24"/>
      <w:szCs w:val="22"/>
      <w:lang w:eastAsia="en-US"/>
    </w:rPr>
  </w:style>
  <w:style w:type="paragraph" w:styleId="974">
    <w:name w:val="Normal (Web)"/>
    <w:basedOn w:val="951"/>
    <w:next w:val="974"/>
    <w:link w:val="951"/>
    <w:uiPriority w:val="99"/>
    <w:unhideWhenUsed/>
    <w:pPr>
      <w:jc w:val="left"/>
      <w:spacing w:before="100" w:beforeAutospacing="1" w:after="100" w:afterAutospacing="1"/>
    </w:pPr>
    <w:rPr>
      <w:rFonts w:ascii="Times New Roman" w:hAnsi="Times New Roman" w:eastAsia="Times New Roman"/>
      <w:color w:val="000000"/>
      <w:szCs w:val="24"/>
      <w:lang w:eastAsia="pt-BR"/>
    </w:rPr>
  </w:style>
  <w:style w:type="paragraph" w:styleId="975">
    <w:name w:val="Standard"/>
    <w:next w:val="975"/>
    <w:link w:val="951"/>
    <w:pPr>
      <w:widowControl w:val="off"/>
    </w:pPr>
    <w:rPr>
      <w:rFonts w:ascii="Times New Roman" w:hAnsi="Times New Roman" w:eastAsia="SimSun" w:cs="Mangal"/>
      <w:sz w:val="24"/>
      <w:szCs w:val="24"/>
      <w:lang w:val="pt-BR" w:eastAsia="zh-CN" w:bidi="hi-IN"/>
    </w:rPr>
  </w:style>
  <w:style w:type="character" w:styleId="976">
    <w:name w:val="Forte"/>
    <w:next w:val="976"/>
    <w:link w:val="951"/>
    <w:uiPriority w:val="22"/>
    <w:qFormat/>
    <w:rPr>
      <w:b/>
      <w:bCs/>
    </w:rPr>
  </w:style>
  <w:style w:type="character" w:styleId="977">
    <w:name w:val="Título 3 Char"/>
    <w:next w:val="977"/>
    <w:link w:val="954"/>
    <w:uiPriority w:val="9"/>
    <w:semiHidden/>
    <w:rPr>
      <w:rFonts w:ascii="Cambria" w:hAnsi="Cambria" w:eastAsia="Times New Roman" w:cs="Times New Roman"/>
      <w:b/>
      <w:bCs/>
      <w:sz w:val="26"/>
      <w:szCs w:val="26"/>
      <w:lang w:eastAsia="en-US"/>
    </w:rPr>
  </w:style>
  <w:style w:type="character" w:styleId="978">
    <w:name w:val="Strong Emphasis"/>
    <w:next w:val="978"/>
    <w:link w:val="951"/>
    <w:rPr>
      <w:b/>
      <w:bCs/>
    </w:rPr>
  </w:style>
  <w:style w:type="paragraph" w:styleId="979">
    <w:name w:val="Corpo de texto 2"/>
    <w:basedOn w:val="951"/>
    <w:next w:val="979"/>
    <w:link w:val="980"/>
    <w:uiPriority w:val="99"/>
    <w:semiHidden/>
    <w:unhideWhenUsed/>
    <w:pPr>
      <w:spacing w:after="120" w:line="480" w:lineRule="auto"/>
    </w:pPr>
    <w:rPr>
      <w:lang w:val="en-US"/>
    </w:rPr>
  </w:style>
  <w:style w:type="character" w:styleId="980">
    <w:name w:val="Corpo de texto 2 Char"/>
    <w:next w:val="980"/>
    <w:link w:val="979"/>
    <w:uiPriority w:val="99"/>
    <w:semiHidden/>
    <w:rPr>
      <w:rFonts w:ascii="Arial" w:hAnsi="Arial"/>
      <w:sz w:val="24"/>
      <w:szCs w:val="22"/>
      <w:lang w:eastAsia="en-US"/>
    </w:rPr>
  </w:style>
  <w:style w:type="paragraph" w:styleId="981">
    <w:name w:val="Recuo de corpo de texto 2"/>
    <w:basedOn w:val="951"/>
    <w:next w:val="981"/>
    <w:link w:val="982"/>
    <w:uiPriority w:val="99"/>
    <w:unhideWhenUsed/>
    <w:pPr>
      <w:ind w:left="283"/>
      <w:spacing w:after="120" w:line="480" w:lineRule="auto"/>
    </w:pPr>
    <w:rPr>
      <w:lang w:val="en-US"/>
    </w:rPr>
  </w:style>
  <w:style w:type="character" w:styleId="982">
    <w:name w:val="Recuo de corpo de texto 2 Char"/>
    <w:next w:val="982"/>
    <w:link w:val="981"/>
    <w:uiPriority w:val="99"/>
    <w:rPr>
      <w:rFonts w:ascii="Arial" w:hAnsi="Arial"/>
      <w:sz w:val="24"/>
      <w:szCs w:val="22"/>
      <w:lang w:eastAsia="en-US"/>
    </w:rPr>
  </w:style>
  <w:style w:type="character" w:styleId="983">
    <w:name w:val="label"/>
    <w:basedOn w:val="955"/>
    <w:next w:val="983"/>
    <w:link w:val="951"/>
  </w:style>
  <w:style w:type="character" w:styleId="984">
    <w:name w:val="Ênfase"/>
    <w:basedOn w:val="955"/>
    <w:next w:val="984"/>
    <w:link w:val="951"/>
    <w:uiPriority w:val="20"/>
    <w:qFormat/>
    <w:rPr>
      <w:i/>
      <w:iCs/>
    </w:rPr>
  </w:style>
  <w:style w:type="character" w:styleId="985" w:default="1">
    <w:name w:val="Default Paragraph Font"/>
    <w:uiPriority w:val="1"/>
    <w:semiHidden/>
    <w:unhideWhenUsed/>
  </w:style>
  <w:style w:type="numbering" w:styleId="986" w:default="1">
    <w:name w:val="No List"/>
    <w:uiPriority w:val="99"/>
    <w:semiHidden/>
    <w:unhideWhenUsed/>
  </w:style>
  <w:style w:type="table" w:styleId="987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hyperlink" Target="https://www2.camara.leg.br/legin/fed/lei/2020/lei-14113-25-dezembro-2020-790952-norma-pl.html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ONLYOFFICE/7.4.0.163</Application>
  <Company>Hewlett-Packard Company</Company>
  <DocSecurity>0</DocSecurity>
  <HyperlinksChanged>false</HyperlinksChanged>
  <ScaleCrop>false</ScaleCrop>
  <SharedDoc>false</SharedDoc>
  <Template>Papel impressao 2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8</cp:revision>
  <dcterms:created xsi:type="dcterms:W3CDTF">2023-03-15T18:20:00Z</dcterms:created>
  <dcterms:modified xsi:type="dcterms:W3CDTF">2023-11-10T16:46:27Z</dcterms:modified>
  <cp:version>786432</cp:version>
</cp:coreProperties>
</file>