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D1F21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686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C46B5" w:rsidRPr="00FC46B5">
        <w:rPr>
          <w:sz w:val="24"/>
          <w:szCs w:val="24"/>
        </w:rPr>
        <w:t xml:space="preserve">, </w:t>
      </w:r>
      <w:r w:rsidR="00AD1F21" w:rsidRPr="00AD1F21">
        <w:rPr>
          <w:sz w:val="24"/>
          <w:szCs w:val="24"/>
        </w:rPr>
        <w:t>por meio da Secretaria Municipal de Educação, seja avaliada e implementada a inclusão de aulas de robótica educacional no plano de ensino das escolas da rede municipal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AD1F21" w:rsidRPr="00AD1F21" w:rsidRDefault="00AD1F21" w:rsidP="00AD1F2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D1F21">
        <w:rPr>
          <w:rFonts w:asciiTheme="minorHAnsi" w:eastAsia="Times New Roman" w:hAnsiTheme="minorHAnsi" w:cstheme="minorHAnsi"/>
          <w:sz w:val="24"/>
          <w:szCs w:val="24"/>
          <w:lang w:eastAsia="pt-BR"/>
        </w:rPr>
        <w:t>A inserção da robótica no ambiente escolar constitui uma importante ferramenta pedagógica, alinhada às demandas contemporâneas de inovação, tecnologia e desenvolvimento de competências essenciais para o século XXI.</w:t>
      </w:r>
    </w:p>
    <w:p w:rsidR="00AD1F21" w:rsidRPr="00AD1F21" w:rsidRDefault="00AD1F21" w:rsidP="00AD1F2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D1F21">
        <w:rPr>
          <w:rFonts w:asciiTheme="minorHAnsi" w:eastAsia="Times New Roman" w:hAnsiTheme="minorHAnsi" w:cstheme="minorHAnsi"/>
          <w:sz w:val="24"/>
          <w:szCs w:val="24"/>
          <w:lang w:eastAsia="pt-BR"/>
        </w:rPr>
        <w:t>A robótica educacional promove o aprendizado interdisciplinar, integrando áreas como matemática, ciências, tecnologia e engenharia, além de estimular o raciocínio lógico, a criatividade, a resolução de problemas e o trabalho em equipe.</w:t>
      </w:r>
    </w:p>
    <w:p w:rsidR="00AD1F21" w:rsidRPr="00AD1F21" w:rsidRDefault="00AD1F21" w:rsidP="00AD1F2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D1F21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o contato com tecnologias desde a educação básica contribui para a formação de cidadãos mais preparados para o mercado de trabalho e para os desafios da sociedade digital, reduzindo desigualdades de acesso ao conhecimento tecnológico.</w:t>
      </w:r>
    </w:p>
    <w:p w:rsidR="00AD1F21" w:rsidRPr="00AD1F21" w:rsidRDefault="00AD1F21" w:rsidP="00AD1F2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D1F21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implementação poderá ocorrer de forma gradual, por meio de projetos piloto, capacitação de professores e parcerias com instituições de ensino, universidades e empresas de tecnologia.</w:t>
      </w:r>
    </w:p>
    <w:p w:rsidR="001C2D93" w:rsidRDefault="00AD1F21" w:rsidP="00AD1F21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D1F21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solicito a atenção do Poder Executivo para esta importante iniciativa, que trará benefícios significativos à educação municipal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B422D4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86A48">
        <w:rPr>
          <w:rFonts w:asciiTheme="minorHAnsi" w:eastAsia="Arial" w:hAnsiTheme="minorHAnsi" w:cstheme="minorHAnsi"/>
          <w:b/>
          <w:sz w:val="24"/>
          <w:szCs w:val="24"/>
        </w:rPr>
        <w:t>Alex Fabiano Moreira</w:t>
      </w:r>
      <w:r w:rsidR="003C71C4" w:rsidRPr="00F86A48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10"/>
  </w:num>
  <w:num w:numId="10">
    <w:abstractNumId w:val="0"/>
  </w:num>
  <w:num w:numId="11">
    <w:abstractNumId w:val="9"/>
  </w:num>
  <w:num w:numId="12">
    <w:abstractNumId w:val="2"/>
  </w:num>
  <w:num w:numId="13">
    <w:abstractNumId w:val="5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74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1"/>
    <o:shapelayout v:ext="edit">
      <o:idmap v:ext="edit" data="1"/>
    </o:shapelayout>
  </w:shapeDefaults>
  <w:decimalSymbol w:val=","/>
  <w:listSeparator w:val=";"/>
  <w14:docId w14:val="02C96B6A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83B5CF7-90AE-4226-8AAF-15CEB66CF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230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106</cp:revision>
  <cp:lastPrinted>2023-06-23T16:25:00Z</cp:lastPrinted>
  <dcterms:created xsi:type="dcterms:W3CDTF">2026-02-09T16:25:00Z</dcterms:created>
  <dcterms:modified xsi:type="dcterms:W3CDTF">2026-05-07T13:18:00Z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