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52B" w:rsidRPr="008017BE" w:rsidRDefault="0003352B" w:rsidP="0003352B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21/2020</w:t>
      </w:r>
    </w:p>
    <w:p w:rsidR="0003352B" w:rsidRPr="008017BE" w:rsidRDefault="0003352B" w:rsidP="0003352B">
      <w:pPr>
        <w:rPr>
          <w:rFonts w:ascii="Arial" w:hAnsi="Arial" w:cs="Arial"/>
          <w:sz w:val="24"/>
        </w:rPr>
      </w:pPr>
    </w:p>
    <w:p w:rsidR="0003352B" w:rsidRPr="008017BE" w:rsidRDefault="0003352B" w:rsidP="0003352B">
      <w:pPr>
        <w:rPr>
          <w:rFonts w:ascii="Arial" w:hAnsi="Arial" w:cs="Arial"/>
          <w:sz w:val="24"/>
        </w:rPr>
      </w:pPr>
    </w:p>
    <w:p w:rsidR="0003352B" w:rsidRPr="008017BE" w:rsidRDefault="0003352B" w:rsidP="0003352B">
      <w:pPr>
        <w:rPr>
          <w:rFonts w:ascii="Arial" w:hAnsi="Arial" w:cs="Arial"/>
          <w:sz w:val="24"/>
        </w:rPr>
      </w:pPr>
    </w:p>
    <w:p w:rsidR="0003352B" w:rsidRPr="008017BE" w:rsidRDefault="0003352B" w:rsidP="0003352B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Dispõe sobre abertura de Crédito Adicional Especial</w:t>
      </w:r>
    </w:p>
    <w:p w:rsidR="0003352B" w:rsidRPr="008017BE" w:rsidRDefault="0003352B" w:rsidP="0003352B">
      <w:pPr>
        <w:rPr>
          <w:rFonts w:ascii="Arial" w:hAnsi="Arial" w:cs="Arial"/>
          <w:sz w:val="24"/>
        </w:rPr>
      </w:pPr>
    </w:p>
    <w:p w:rsidR="0003352B" w:rsidRPr="008017BE" w:rsidRDefault="0003352B" w:rsidP="0003352B">
      <w:pPr>
        <w:jc w:val="both"/>
        <w:rPr>
          <w:rFonts w:ascii="Arial" w:hAnsi="Arial" w:cs="Arial"/>
          <w:sz w:val="24"/>
        </w:rPr>
      </w:pPr>
    </w:p>
    <w:p w:rsidR="0003352B" w:rsidRPr="008017BE" w:rsidRDefault="0003352B" w:rsidP="0003352B">
      <w:pPr>
        <w:jc w:val="both"/>
        <w:rPr>
          <w:rFonts w:ascii="Arial" w:hAnsi="Arial" w:cs="Arial"/>
          <w:sz w:val="24"/>
        </w:rPr>
      </w:pPr>
    </w:p>
    <w:p w:rsidR="0003352B" w:rsidRPr="008017BE" w:rsidRDefault="0003352B" w:rsidP="0003352B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03352B" w:rsidRPr="008017BE" w:rsidRDefault="0003352B" w:rsidP="0003352B">
      <w:pPr>
        <w:rPr>
          <w:rFonts w:ascii="Arial" w:hAnsi="Arial" w:cs="Arial"/>
          <w:sz w:val="24"/>
        </w:rPr>
      </w:pPr>
    </w:p>
    <w:p w:rsidR="0003352B" w:rsidRPr="008017BE" w:rsidRDefault="0003352B" w:rsidP="0003352B">
      <w:pPr>
        <w:rPr>
          <w:rFonts w:ascii="Arial" w:hAnsi="Arial" w:cs="Arial"/>
          <w:sz w:val="24"/>
        </w:rPr>
      </w:pPr>
    </w:p>
    <w:p w:rsidR="0003352B" w:rsidRPr="008017BE" w:rsidRDefault="0003352B" w:rsidP="0003352B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</w:t>
      </w:r>
      <w:r w:rsidRPr="008017BE"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>na e promulga a seguinte lei:</w:t>
      </w:r>
    </w:p>
    <w:p w:rsidR="0003352B" w:rsidRPr="008017BE" w:rsidRDefault="0003352B" w:rsidP="0003352B">
      <w:pPr>
        <w:rPr>
          <w:rFonts w:ascii="Arial" w:hAnsi="Arial" w:cs="Arial"/>
          <w:sz w:val="24"/>
        </w:rPr>
      </w:pPr>
    </w:p>
    <w:p w:rsidR="0003352B" w:rsidRPr="008017BE" w:rsidRDefault="0003352B" w:rsidP="0003352B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03352B" w:rsidRPr="008017BE" w:rsidRDefault="0003352B" w:rsidP="0003352B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1º - Fica aberto na contadoria municipal, um crédito adicional e</w:t>
      </w:r>
      <w:r w:rsidRPr="008017BE">
        <w:rPr>
          <w:rFonts w:ascii="Arial" w:hAnsi="Arial" w:cs="Arial"/>
          <w:sz w:val="24"/>
        </w:rPr>
        <w:t>s</w:t>
      </w:r>
      <w:r w:rsidRPr="008017BE">
        <w:rPr>
          <w:rFonts w:ascii="Arial" w:hAnsi="Arial" w:cs="Arial"/>
          <w:sz w:val="24"/>
        </w:rPr>
        <w:t>pecial na importância de até R$</w:t>
      </w:r>
      <w:r>
        <w:rPr>
          <w:rFonts w:ascii="Arial" w:hAnsi="Arial" w:cs="Arial"/>
          <w:sz w:val="24"/>
        </w:rPr>
        <w:t xml:space="preserve"> 200.000,00 (duzentos mil reais</w:t>
      </w:r>
      <w:r w:rsidRPr="008017BE">
        <w:rPr>
          <w:rFonts w:ascii="Arial" w:hAnsi="Arial" w:cs="Arial"/>
          <w:sz w:val="24"/>
        </w:rPr>
        <w:t>),</w:t>
      </w:r>
      <w:r>
        <w:rPr>
          <w:rFonts w:ascii="Arial" w:hAnsi="Arial" w:cs="Arial"/>
          <w:sz w:val="24"/>
        </w:rPr>
        <w:t xml:space="preserve"> visando o pagamento de despesas com indenizações trabalhistas, tais como licença prêmio indenizada, férias i</w:t>
      </w:r>
      <w:r>
        <w:rPr>
          <w:rFonts w:ascii="Arial" w:hAnsi="Arial" w:cs="Arial"/>
          <w:sz w:val="24"/>
        </w:rPr>
        <w:t>n</w:t>
      </w:r>
      <w:r>
        <w:rPr>
          <w:rFonts w:ascii="Arial" w:hAnsi="Arial" w:cs="Arial"/>
          <w:sz w:val="24"/>
        </w:rPr>
        <w:t>denizadas, etc.</w:t>
      </w:r>
    </w:p>
    <w:p w:rsidR="0003352B" w:rsidRDefault="0003352B" w:rsidP="0003352B">
      <w:pPr>
        <w:jc w:val="both"/>
        <w:rPr>
          <w:rFonts w:ascii="Arial" w:hAnsi="Arial" w:cs="Arial"/>
          <w:sz w:val="24"/>
        </w:rPr>
      </w:pPr>
    </w:p>
    <w:p w:rsidR="0003352B" w:rsidRDefault="0003352B" w:rsidP="0003352B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>Art. 2º - O elemento 33909400 – Indenizações e Restituições Trab</w:t>
      </w:r>
      <w:r>
        <w:rPr>
          <w:rFonts w:ascii="Arial" w:hAnsi="Arial" w:cs="Arial"/>
          <w:sz w:val="24"/>
        </w:rPr>
        <w:t>a</w:t>
      </w:r>
      <w:r>
        <w:rPr>
          <w:rFonts w:ascii="Arial" w:hAnsi="Arial" w:cs="Arial"/>
          <w:sz w:val="24"/>
        </w:rPr>
        <w:t>lhistas será aberto de acordo com a necessidade de cada Setor da Prefeitura Municipal.</w:t>
      </w:r>
    </w:p>
    <w:p w:rsidR="0003352B" w:rsidRDefault="0003352B" w:rsidP="0003352B">
      <w:pPr>
        <w:jc w:val="both"/>
        <w:rPr>
          <w:rFonts w:ascii="Arial" w:hAnsi="Arial" w:cs="Arial"/>
          <w:sz w:val="24"/>
        </w:rPr>
      </w:pPr>
    </w:p>
    <w:p w:rsidR="0003352B" w:rsidRDefault="0003352B" w:rsidP="0003352B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2º - O crédito aberto pelo artigo anterior será coberto com recu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sos provenientes</w:t>
      </w:r>
      <w:r>
        <w:rPr>
          <w:rFonts w:ascii="Arial" w:hAnsi="Arial" w:cs="Arial"/>
          <w:sz w:val="24"/>
        </w:rPr>
        <w:t xml:space="preserve"> da anulação parcial do elemento 31901100 – Vencimentos e Vantagens Fixas, do Setor correspondente a abertura do crédito.</w:t>
      </w:r>
    </w:p>
    <w:p w:rsidR="0003352B" w:rsidRPr="008017BE" w:rsidRDefault="0003352B" w:rsidP="0003352B">
      <w:pPr>
        <w:jc w:val="both"/>
        <w:rPr>
          <w:rFonts w:ascii="Arial" w:hAnsi="Arial" w:cs="Arial"/>
          <w:sz w:val="24"/>
        </w:rPr>
      </w:pPr>
    </w:p>
    <w:p w:rsidR="0003352B" w:rsidRPr="008017BE" w:rsidRDefault="0003352B" w:rsidP="0003352B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</w:t>
      </w:r>
      <w:r w:rsidRPr="008017BE">
        <w:rPr>
          <w:rFonts w:ascii="Arial" w:hAnsi="Arial" w:cs="Arial"/>
          <w:sz w:val="24"/>
        </w:rPr>
        <w:t>a</w:t>
      </w:r>
      <w:r w:rsidRPr="008017BE">
        <w:rPr>
          <w:rFonts w:ascii="Arial" w:hAnsi="Arial" w:cs="Arial"/>
          <w:sz w:val="24"/>
        </w:rPr>
        <w:t>das as disposições em contrário.</w:t>
      </w:r>
    </w:p>
    <w:p w:rsidR="0003352B" w:rsidRPr="008017BE" w:rsidRDefault="0003352B" w:rsidP="0003352B">
      <w:pPr>
        <w:rPr>
          <w:rFonts w:ascii="Arial" w:hAnsi="Arial" w:cs="Arial"/>
          <w:sz w:val="24"/>
        </w:rPr>
      </w:pPr>
    </w:p>
    <w:p w:rsidR="0003352B" w:rsidRPr="008017BE" w:rsidRDefault="0003352B" w:rsidP="0003352B">
      <w:pPr>
        <w:rPr>
          <w:rFonts w:ascii="Arial" w:hAnsi="Arial" w:cs="Arial"/>
          <w:sz w:val="24"/>
        </w:rPr>
      </w:pPr>
    </w:p>
    <w:p w:rsidR="0003352B" w:rsidRPr="008017BE" w:rsidRDefault="0003352B" w:rsidP="0003352B">
      <w:pPr>
        <w:rPr>
          <w:rFonts w:ascii="Arial" w:hAnsi="Arial" w:cs="Arial"/>
          <w:sz w:val="24"/>
        </w:rPr>
      </w:pPr>
    </w:p>
    <w:p w:rsidR="0003352B" w:rsidRDefault="0003352B" w:rsidP="0003352B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 xml:space="preserve">30 </w:t>
      </w:r>
      <w:r w:rsidRPr="008017BE">
        <w:rPr>
          <w:rFonts w:ascii="Arial" w:hAnsi="Arial" w:cs="Arial"/>
          <w:sz w:val="24"/>
        </w:rPr>
        <w:t xml:space="preserve">de </w:t>
      </w:r>
      <w:r>
        <w:rPr>
          <w:rFonts w:ascii="Arial" w:hAnsi="Arial" w:cs="Arial"/>
          <w:sz w:val="24"/>
        </w:rPr>
        <w:t>abril de 2020</w:t>
      </w:r>
    </w:p>
    <w:p w:rsidR="0003352B" w:rsidRPr="008017BE" w:rsidRDefault="0003352B" w:rsidP="0003352B">
      <w:pPr>
        <w:jc w:val="center"/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1922145</wp:posOffset>
            </wp:positionH>
            <wp:positionV relativeFrom="paragraph">
              <wp:posOffset>38100</wp:posOffset>
            </wp:positionV>
            <wp:extent cx="2847975" cy="1571625"/>
            <wp:effectExtent l="19050" t="0" r="9525" b="0"/>
            <wp:wrapNone/>
            <wp:docPr id="2" name="Imagem 2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3352B" w:rsidRPr="008017BE" w:rsidRDefault="0003352B" w:rsidP="0003352B">
      <w:pPr>
        <w:jc w:val="center"/>
        <w:rPr>
          <w:rFonts w:ascii="Arial" w:hAnsi="Arial" w:cs="Arial"/>
          <w:sz w:val="24"/>
        </w:rPr>
      </w:pPr>
    </w:p>
    <w:p w:rsidR="0003352B" w:rsidRPr="008017BE" w:rsidRDefault="0003352B" w:rsidP="0003352B">
      <w:pPr>
        <w:jc w:val="center"/>
        <w:rPr>
          <w:rFonts w:ascii="Arial" w:hAnsi="Arial" w:cs="Arial"/>
          <w:sz w:val="24"/>
        </w:rPr>
      </w:pPr>
    </w:p>
    <w:p w:rsidR="0003352B" w:rsidRPr="008017BE" w:rsidRDefault="0003352B" w:rsidP="0003352B">
      <w:pPr>
        <w:jc w:val="center"/>
        <w:rPr>
          <w:rFonts w:ascii="Arial" w:hAnsi="Arial" w:cs="Arial"/>
          <w:sz w:val="24"/>
        </w:rPr>
      </w:pPr>
    </w:p>
    <w:p w:rsidR="0003352B" w:rsidRPr="008017BE" w:rsidRDefault="0003352B" w:rsidP="0003352B">
      <w:pPr>
        <w:jc w:val="center"/>
        <w:rPr>
          <w:rFonts w:ascii="Arial" w:hAnsi="Arial" w:cs="Arial"/>
          <w:sz w:val="24"/>
        </w:rPr>
      </w:pPr>
    </w:p>
    <w:p w:rsidR="0003352B" w:rsidRPr="008017BE" w:rsidRDefault="0003352B" w:rsidP="0003352B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03352B" w:rsidRPr="008017BE" w:rsidRDefault="0003352B" w:rsidP="0003352B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03352B" w:rsidRPr="008017BE" w:rsidRDefault="0003352B" w:rsidP="0003352B">
      <w:pPr>
        <w:rPr>
          <w:rFonts w:ascii="Arial" w:hAnsi="Arial" w:cs="Arial"/>
          <w:sz w:val="24"/>
        </w:rPr>
      </w:pPr>
    </w:p>
    <w:p w:rsidR="0003352B" w:rsidRDefault="0003352B" w:rsidP="0003352B">
      <w:pPr>
        <w:jc w:val="center"/>
        <w:rPr>
          <w:rFonts w:ascii="Arial" w:hAnsi="Arial" w:cs="Arial"/>
          <w:sz w:val="24"/>
        </w:rPr>
      </w:pPr>
    </w:p>
    <w:p w:rsidR="0003352B" w:rsidRDefault="0003352B" w:rsidP="0003352B">
      <w:pPr>
        <w:jc w:val="center"/>
        <w:rPr>
          <w:rFonts w:ascii="Arial" w:hAnsi="Arial" w:cs="Arial"/>
          <w:sz w:val="24"/>
        </w:rPr>
      </w:pPr>
    </w:p>
    <w:p w:rsidR="0003352B" w:rsidRDefault="0003352B" w:rsidP="0003352B">
      <w:pPr>
        <w:jc w:val="center"/>
        <w:rPr>
          <w:rFonts w:ascii="Arial" w:hAnsi="Arial" w:cs="Arial"/>
          <w:sz w:val="24"/>
        </w:rPr>
      </w:pPr>
    </w:p>
    <w:p w:rsidR="0003352B" w:rsidRDefault="0003352B" w:rsidP="0003352B">
      <w:pPr>
        <w:jc w:val="center"/>
        <w:rPr>
          <w:rFonts w:ascii="Arial" w:hAnsi="Arial" w:cs="Arial"/>
          <w:sz w:val="24"/>
        </w:rPr>
      </w:pPr>
    </w:p>
    <w:p w:rsidR="0003352B" w:rsidRDefault="0003352B" w:rsidP="0003352B">
      <w:pPr>
        <w:jc w:val="center"/>
        <w:rPr>
          <w:rFonts w:ascii="Arial" w:hAnsi="Arial" w:cs="Arial"/>
          <w:sz w:val="24"/>
        </w:rPr>
      </w:pPr>
    </w:p>
    <w:p w:rsidR="0003352B" w:rsidRDefault="0003352B" w:rsidP="0003352B">
      <w:pPr>
        <w:jc w:val="center"/>
        <w:rPr>
          <w:rFonts w:ascii="Arial" w:hAnsi="Arial" w:cs="Arial"/>
          <w:sz w:val="24"/>
        </w:rPr>
      </w:pPr>
    </w:p>
    <w:p w:rsidR="0003352B" w:rsidRDefault="0003352B" w:rsidP="0003352B">
      <w:pPr>
        <w:jc w:val="center"/>
        <w:rPr>
          <w:rFonts w:ascii="Arial" w:hAnsi="Arial" w:cs="Arial"/>
          <w:sz w:val="24"/>
        </w:rPr>
      </w:pPr>
    </w:p>
    <w:p w:rsidR="0003352B" w:rsidRDefault="0003352B" w:rsidP="0003352B">
      <w:pPr>
        <w:jc w:val="center"/>
        <w:rPr>
          <w:rFonts w:ascii="Arial" w:hAnsi="Arial" w:cs="Arial"/>
          <w:sz w:val="24"/>
        </w:rPr>
      </w:pPr>
    </w:p>
    <w:p w:rsidR="0003352B" w:rsidRDefault="0003352B" w:rsidP="0003352B">
      <w:pPr>
        <w:jc w:val="center"/>
        <w:rPr>
          <w:rFonts w:ascii="Arial" w:hAnsi="Arial" w:cs="Arial"/>
          <w:sz w:val="24"/>
        </w:rPr>
      </w:pPr>
    </w:p>
    <w:p w:rsidR="0003352B" w:rsidRDefault="0003352B" w:rsidP="0003352B">
      <w:pPr>
        <w:jc w:val="center"/>
        <w:rPr>
          <w:rFonts w:ascii="Arial" w:hAnsi="Arial" w:cs="Arial"/>
          <w:sz w:val="24"/>
        </w:rPr>
      </w:pPr>
    </w:p>
    <w:p w:rsidR="0003352B" w:rsidRDefault="0003352B" w:rsidP="0003352B">
      <w:pPr>
        <w:jc w:val="center"/>
        <w:rPr>
          <w:rFonts w:ascii="Arial" w:hAnsi="Arial" w:cs="Arial"/>
          <w:sz w:val="24"/>
        </w:rPr>
      </w:pPr>
    </w:p>
    <w:p w:rsidR="0003352B" w:rsidRDefault="0003352B" w:rsidP="0003352B">
      <w:pPr>
        <w:jc w:val="center"/>
        <w:rPr>
          <w:rFonts w:ascii="Arial" w:hAnsi="Arial" w:cs="Arial"/>
          <w:sz w:val="24"/>
        </w:rPr>
      </w:pPr>
    </w:p>
    <w:p w:rsidR="0003352B" w:rsidRDefault="0003352B" w:rsidP="0003352B">
      <w:pPr>
        <w:jc w:val="center"/>
        <w:rPr>
          <w:rFonts w:ascii="Arial" w:hAnsi="Arial" w:cs="Arial"/>
          <w:sz w:val="24"/>
        </w:rPr>
      </w:pPr>
    </w:p>
    <w:p w:rsidR="0003352B" w:rsidRPr="008017BE" w:rsidRDefault="0003352B" w:rsidP="0003352B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03352B" w:rsidRPr="008017BE" w:rsidRDefault="0003352B" w:rsidP="0003352B">
      <w:pPr>
        <w:jc w:val="center"/>
        <w:rPr>
          <w:rFonts w:ascii="Arial" w:hAnsi="Arial" w:cs="Arial"/>
          <w:sz w:val="24"/>
        </w:rPr>
      </w:pPr>
    </w:p>
    <w:p w:rsidR="0003352B" w:rsidRPr="008017BE" w:rsidRDefault="0003352B" w:rsidP="0003352B">
      <w:pPr>
        <w:jc w:val="center"/>
        <w:rPr>
          <w:rFonts w:ascii="Arial" w:hAnsi="Arial" w:cs="Arial"/>
          <w:sz w:val="24"/>
        </w:rPr>
      </w:pPr>
    </w:p>
    <w:p w:rsidR="0003352B" w:rsidRPr="008017BE" w:rsidRDefault="0003352B" w:rsidP="0003352B">
      <w:pPr>
        <w:jc w:val="center"/>
        <w:rPr>
          <w:rFonts w:ascii="Arial" w:hAnsi="Arial" w:cs="Arial"/>
          <w:sz w:val="24"/>
        </w:rPr>
      </w:pPr>
    </w:p>
    <w:p w:rsidR="0003352B" w:rsidRPr="008017BE" w:rsidRDefault="0003352B" w:rsidP="0003352B">
      <w:pPr>
        <w:jc w:val="center"/>
        <w:rPr>
          <w:rFonts w:ascii="Arial" w:hAnsi="Arial" w:cs="Arial"/>
          <w:sz w:val="24"/>
        </w:rPr>
      </w:pPr>
    </w:p>
    <w:p w:rsidR="0003352B" w:rsidRPr="008017BE" w:rsidRDefault="0003352B" w:rsidP="0003352B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Especial no valor de até R$ 200.000,00 (duzentos mil reais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>servirá para custear possíveis despesas com Indenizações e restituições trabalhistas do exercício de 2020. Essas indenizações dizem respeito à férias indenizadas, licença pr</w:t>
      </w:r>
      <w:r>
        <w:rPr>
          <w:rFonts w:ascii="Arial" w:hAnsi="Arial" w:cs="Arial"/>
          <w:sz w:val="24"/>
        </w:rPr>
        <w:t>ê</w:t>
      </w:r>
      <w:r>
        <w:rPr>
          <w:rFonts w:ascii="Arial" w:hAnsi="Arial" w:cs="Arial"/>
          <w:sz w:val="24"/>
        </w:rPr>
        <w:t>mio indenizadas, etc. O crédito aberto será coberto pela anulação parcial do elemento 31901100 – Vencimentos e Vantagens Fixas, sempre no mesmo setor que der causa ao pagamento das Indenizações.</w:t>
      </w:r>
    </w:p>
    <w:p w:rsidR="0003352B" w:rsidRPr="008017BE" w:rsidRDefault="0003352B" w:rsidP="0003352B">
      <w:pPr>
        <w:jc w:val="both"/>
        <w:rPr>
          <w:rFonts w:ascii="Arial" w:hAnsi="Arial" w:cs="Arial"/>
          <w:sz w:val="24"/>
          <w:u w:val="single"/>
        </w:rPr>
      </w:pPr>
    </w:p>
    <w:p w:rsidR="0003352B" w:rsidRPr="008017BE" w:rsidRDefault="0003352B" w:rsidP="0003352B">
      <w:pPr>
        <w:jc w:val="both"/>
        <w:rPr>
          <w:rFonts w:ascii="Arial" w:hAnsi="Arial" w:cs="Arial"/>
          <w:sz w:val="24"/>
        </w:rPr>
      </w:pPr>
    </w:p>
    <w:p w:rsidR="0003352B" w:rsidRDefault="0003352B" w:rsidP="0003352B">
      <w:pPr>
        <w:jc w:val="center"/>
        <w:rPr>
          <w:rFonts w:ascii="Arial" w:hAnsi="Arial" w:cs="Arial"/>
          <w:sz w:val="24"/>
        </w:rPr>
      </w:pPr>
    </w:p>
    <w:p w:rsidR="0003352B" w:rsidRDefault="0003352B" w:rsidP="0003352B">
      <w:pPr>
        <w:jc w:val="center"/>
        <w:rPr>
          <w:rFonts w:ascii="Arial" w:hAnsi="Arial" w:cs="Arial"/>
          <w:sz w:val="24"/>
        </w:rPr>
      </w:pPr>
    </w:p>
    <w:p w:rsidR="0003352B" w:rsidRPr="008017BE" w:rsidRDefault="0003352B" w:rsidP="0003352B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30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abril de 2020</w:t>
      </w:r>
    </w:p>
    <w:p w:rsidR="0003352B" w:rsidRPr="008017BE" w:rsidRDefault="0003352B" w:rsidP="0003352B">
      <w:pPr>
        <w:rPr>
          <w:rFonts w:ascii="Arial" w:hAnsi="Arial" w:cs="Arial"/>
          <w:sz w:val="24"/>
        </w:rPr>
      </w:pPr>
    </w:p>
    <w:p w:rsidR="0003352B" w:rsidRPr="008017BE" w:rsidRDefault="0003352B" w:rsidP="0003352B">
      <w:pPr>
        <w:rPr>
          <w:rFonts w:ascii="Arial" w:hAnsi="Arial" w:cs="Arial"/>
          <w:sz w:val="24"/>
        </w:rPr>
      </w:pPr>
    </w:p>
    <w:p w:rsidR="0003352B" w:rsidRPr="008017BE" w:rsidRDefault="0003352B" w:rsidP="0003352B">
      <w:pPr>
        <w:rPr>
          <w:rFonts w:ascii="Arial" w:hAnsi="Arial" w:cs="Arial"/>
          <w:sz w:val="24"/>
        </w:rPr>
      </w:pPr>
    </w:p>
    <w:p w:rsidR="0003352B" w:rsidRDefault="0003352B" w:rsidP="0003352B">
      <w:pPr>
        <w:rPr>
          <w:rFonts w:ascii="Arial" w:hAnsi="Arial" w:cs="Arial"/>
          <w:sz w:val="24"/>
        </w:rPr>
      </w:pPr>
    </w:p>
    <w:p w:rsidR="0003352B" w:rsidRPr="008017BE" w:rsidRDefault="0003352B" w:rsidP="0003352B">
      <w:pPr>
        <w:rPr>
          <w:rFonts w:ascii="Arial" w:hAnsi="Arial" w:cs="Arial"/>
          <w:sz w:val="24"/>
        </w:rPr>
      </w:pPr>
    </w:p>
    <w:p w:rsidR="0003352B" w:rsidRPr="008017BE" w:rsidRDefault="0003352B" w:rsidP="0003352B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03352B" w:rsidRDefault="0003352B" w:rsidP="0003352B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03352B" w:rsidRDefault="0003352B" w:rsidP="0003352B">
      <w:pPr>
        <w:jc w:val="center"/>
        <w:rPr>
          <w:rFonts w:ascii="Arial" w:hAnsi="Arial" w:cs="Arial"/>
          <w:sz w:val="24"/>
        </w:rPr>
      </w:pPr>
    </w:p>
    <w:p w:rsidR="0003352B" w:rsidRDefault="0003352B" w:rsidP="0003352B">
      <w:pPr>
        <w:jc w:val="center"/>
        <w:rPr>
          <w:rFonts w:ascii="Arial" w:hAnsi="Arial" w:cs="Arial"/>
          <w:sz w:val="24"/>
        </w:rPr>
      </w:pPr>
    </w:p>
    <w:p w:rsidR="0003352B" w:rsidRDefault="0003352B" w:rsidP="0003352B">
      <w:pPr>
        <w:jc w:val="center"/>
        <w:rPr>
          <w:rFonts w:ascii="Arial" w:hAnsi="Arial" w:cs="Arial"/>
          <w:sz w:val="24"/>
        </w:rPr>
      </w:pPr>
    </w:p>
    <w:p w:rsidR="0003352B" w:rsidRDefault="0003352B" w:rsidP="0003352B">
      <w:pPr>
        <w:jc w:val="center"/>
        <w:rPr>
          <w:rFonts w:ascii="Arial" w:hAnsi="Arial" w:cs="Arial"/>
          <w:sz w:val="24"/>
        </w:rPr>
      </w:pPr>
    </w:p>
    <w:p w:rsidR="0003352B" w:rsidRDefault="0003352B" w:rsidP="0003352B">
      <w:pPr>
        <w:jc w:val="center"/>
        <w:rPr>
          <w:rFonts w:ascii="Arial" w:hAnsi="Arial" w:cs="Arial"/>
          <w:sz w:val="24"/>
        </w:rPr>
      </w:pPr>
    </w:p>
    <w:p w:rsidR="0003352B" w:rsidRDefault="0003352B" w:rsidP="0003352B">
      <w:pPr>
        <w:jc w:val="center"/>
        <w:rPr>
          <w:rFonts w:ascii="Arial" w:hAnsi="Arial" w:cs="Arial"/>
          <w:sz w:val="24"/>
        </w:rPr>
      </w:pPr>
    </w:p>
    <w:p w:rsidR="0003352B" w:rsidRDefault="0003352B" w:rsidP="0003352B">
      <w:pPr>
        <w:jc w:val="center"/>
        <w:rPr>
          <w:rFonts w:ascii="Arial" w:hAnsi="Arial" w:cs="Arial"/>
          <w:sz w:val="24"/>
        </w:rPr>
      </w:pPr>
    </w:p>
    <w:p w:rsidR="0003352B" w:rsidRDefault="0003352B" w:rsidP="0003352B">
      <w:pPr>
        <w:jc w:val="center"/>
        <w:rPr>
          <w:rFonts w:ascii="Arial" w:hAnsi="Arial" w:cs="Arial"/>
          <w:sz w:val="24"/>
        </w:rPr>
      </w:pPr>
    </w:p>
    <w:p w:rsidR="0003352B" w:rsidRDefault="0003352B" w:rsidP="0003352B">
      <w:pPr>
        <w:jc w:val="center"/>
        <w:rPr>
          <w:rFonts w:ascii="Arial" w:hAnsi="Arial" w:cs="Arial"/>
          <w:sz w:val="24"/>
        </w:rPr>
      </w:pPr>
    </w:p>
    <w:p w:rsidR="0003352B" w:rsidRDefault="0003352B" w:rsidP="0003352B">
      <w:pPr>
        <w:jc w:val="center"/>
        <w:rPr>
          <w:rFonts w:ascii="Arial" w:hAnsi="Arial" w:cs="Arial"/>
          <w:sz w:val="24"/>
        </w:rPr>
      </w:pPr>
    </w:p>
    <w:p w:rsidR="001D087B" w:rsidRPr="00DF0FED" w:rsidRDefault="001D087B" w:rsidP="00DF0FED"/>
    <w:sectPr w:rsidR="001D087B" w:rsidRPr="00DF0FED" w:rsidSect="008C51D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1F5B" w:rsidRDefault="00BF1F5B" w:rsidP="008C51DC">
      <w:r>
        <w:separator/>
      </w:r>
    </w:p>
  </w:endnote>
  <w:endnote w:type="continuationSeparator" w:id="1">
    <w:p w:rsidR="00BF1F5B" w:rsidRDefault="00BF1F5B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1F5B" w:rsidRDefault="00BF1F5B" w:rsidP="008C51DC">
      <w:r>
        <w:separator/>
      </w:r>
    </w:p>
  </w:footnote>
  <w:footnote w:type="continuationSeparator" w:id="1">
    <w:p w:rsidR="00BF1F5B" w:rsidRDefault="00BF1F5B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BF2EA1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3352B"/>
    <w:rsid w:val="00075D49"/>
    <w:rsid w:val="00082792"/>
    <w:rsid w:val="00105706"/>
    <w:rsid w:val="00107274"/>
    <w:rsid w:val="00126771"/>
    <w:rsid w:val="00135841"/>
    <w:rsid w:val="00162CC2"/>
    <w:rsid w:val="00171ECD"/>
    <w:rsid w:val="001C11AD"/>
    <w:rsid w:val="001D087B"/>
    <w:rsid w:val="0020222D"/>
    <w:rsid w:val="003204EC"/>
    <w:rsid w:val="003279B0"/>
    <w:rsid w:val="00344119"/>
    <w:rsid w:val="004029AA"/>
    <w:rsid w:val="00446284"/>
    <w:rsid w:val="004E66CD"/>
    <w:rsid w:val="00524BB6"/>
    <w:rsid w:val="005D5B4F"/>
    <w:rsid w:val="005F6D58"/>
    <w:rsid w:val="005F73FB"/>
    <w:rsid w:val="0068117E"/>
    <w:rsid w:val="006945D5"/>
    <w:rsid w:val="00755D41"/>
    <w:rsid w:val="007629F8"/>
    <w:rsid w:val="007D5C82"/>
    <w:rsid w:val="008C33FC"/>
    <w:rsid w:val="008C51DC"/>
    <w:rsid w:val="00933793"/>
    <w:rsid w:val="009A70E4"/>
    <w:rsid w:val="00B168B2"/>
    <w:rsid w:val="00B80E5E"/>
    <w:rsid w:val="00BA22DF"/>
    <w:rsid w:val="00BF1F5B"/>
    <w:rsid w:val="00BF2EA1"/>
    <w:rsid w:val="00C434F9"/>
    <w:rsid w:val="00C800AD"/>
    <w:rsid w:val="00D05888"/>
    <w:rsid w:val="00D466B6"/>
    <w:rsid w:val="00DC3B9D"/>
    <w:rsid w:val="00DF0FED"/>
    <w:rsid w:val="00E643CB"/>
    <w:rsid w:val="00E763A9"/>
    <w:rsid w:val="00E83587"/>
    <w:rsid w:val="00EB2787"/>
    <w:rsid w:val="00EC3DC8"/>
    <w:rsid w:val="00ED2EC4"/>
    <w:rsid w:val="00F0331C"/>
    <w:rsid w:val="00F109EB"/>
    <w:rsid w:val="00F34207"/>
    <w:rsid w:val="00F36174"/>
    <w:rsid w:val="00F822A3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288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2019-02-01T12:12:00Z</cp:lastPrinted>
  <dcterms:created xsi:type="dcterms:W3CDTF">2020-04-30T17:13:00Z</dcterms:created>
  <dcterms:modified xsi:type="dcterms:W3CDTF">2020-04-30T17:13:00Z</dcterms:modified>
</cp:coreProperties>
</file>