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B583B" w14:textId="7920541D" w:rsidR="004C5A51" w:rsidRPr="00642E0E" w:rsidRDefault="007346C4">
      <w:pPr>
        <w:jc w:val="center"/>
        <w:rPr>
          <w:rFonts w:asciiTheme="minorHAnsi" w:hAnsiTheme="minorHAnsi" w:cstheme="minorHAnsi"/>
        </w:rPr>
      </w:pPr>
      <w:r w:rsidRPr="00642E0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Projeto de Lei </w:t>
      </w:r>
      <w:r w:rsidR="0076435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Complementar</w:t>
      </w:r>
      <w:r w:rsidRPr="00642E0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 nº </w:t>
      </w:r>
      <w:r w:rsidR="00AE605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1</w:t>
      </w:r>
      <w:r w:rsidR="00642E0E" w:rsidRPr="00642E0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 de </w:t>
      </w:r>
      <w:r w:rsidR="00AE605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03</w:t>
      </w:r>
      <w:r w:rsidR="00642E0E" w:rsidRPr="00642E0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 de </w:t>
      </w:r>
      <w:r w:rsidR="00AE605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março</w:t>
      </w:r>
      <w:r w:rsidR="00642E0E" w:rsidRPr="00642E0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 de 202</w:t>
      </w:r>
      <w:r w:rsidR="0080765A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3</w:t>
      </w:r>
    </w:p>
    <w:p w14:paraId="2414AC0C" w14:textId="77777777" w:rsidR="004C5A51" w:rsidRPr="00642E0E" w:rsidRDefault="004C5A51">
      <w:pPr>
        <w:rPr>
          <w:rStyle w:val="Forte"/>
          <w:rFonts w:asciiTheme="minorHAnsi" w:hAnsiTheme="minorHAnsi" w:cstheme="minorHAnsi"/>
          <w:b w:val="0"/>
          <w:bCs w:val="0"/>
          <w:sz w:val="24"/>
          <w:szCs w:val="24"/>
        </w:rPr>
      </w:pPr>
    </w:p>
    <w:p w14:paraId="0EDACCF0" w14:textId="5BACCD0A" w:rsidR="000E7768" w:rsidRPr="00642E0E" w:rsidRDefault="000E7768" w:rsidP="00AE605E">
      <w:pPr>
        <w:pStyle w:val="Default"/>
        <w:ind w:left="5103"/>
        <w:rPr>
          <w:rFonts w:asciiTheme="minorHAnsi" w:hAnsiTheme="minorHAnsi" w:cstheme="minorHAnsi"/>
          <w:i/>
          <w:iCs/>
          <w:color w:val="auto"/>
        </w:rPr>
      </w:pPr>
      <w:r w:rsidRPr="00642E0E">
        <w:rPr>
          <w:rFonts w:asciiTheme="minorHAnsi" w:hAnsiTheme="minorHAnsi" w:cstheme="minorHAnsi"/>
          <w:i/>
          <w:iCs/>
          <w:color w:val="auto"/>
        </w:rPr>
        <w:t>“</w:t>
      </w:r>
      <w:r w:rsidR="00AE605E" w:rsidRPr="00AE605E">
        <w:rPr>
          <w:rFonts w:asciiTheme="minorHAnsi" w:hAnsiTheme="minorHAnsi" w:cstheme="minorHAnsi"/>
          <w:i/>
          <w:iCs/>
          <w:color w:val="auto"/>
        </w:rPr>
        <w:t>Acrescenta ao art.</w:t>
      </w:r>
      <w:r w:rsidR="00AE605E">
        <w:rPr>
          <w:rFonts w:asciiTheme="minorHAnsi" w:hAnsiTheme="minorHAnsi" w:cstheme="minorHAnsi"/>
          <w:i/>
          <w:iCs/>
          <w:color w:val="auto"/>
        </w:rPr>
        <w:t>19</w:t>
      </w:r>
      <w:r w:rsidR="00AE605E" w:rsidRPr="00AE605E">
        <w:rPr>
          <w:rFonts w:asciiTheme="minorHAnsi" w:hAnsiTheme="minorHAnsi" w:cstheme="minorHAnsi"/>
          <w:i/>
          <w:iCs/>
          <w:color w:val="auto"/>
        </w:rPr>
        <w:t xml:space="preserve">º da Lei </w:t>
      </w:r>
      <w:r w:rsidR="00AE605E">
        <w:rPr>
          <w:rFonts w:asciiTheme="minorHAnsi" w:hAnsiTheme="minorHAnsi" w:cstheme="minorHAnsi"/>
          <w:i/>
          <w:iCs/>
          <w:color w:val="auto"/>
        </w:rPr>
        <w:t xml:space="preserve">Complementar </w:t>
      </w:r>
      <w:r w:rsidR="00AE605E" w:rsidRPr="00AE605E">
        <w:rPr>
          <w:rFonts w:asciiTheme="minorHAnsi" w:hAnsiTheme="minorHAnsi" w:cstheme="minorHAnsi"/>
          <w:i/>
          <w:iCs/>
          <w:color w:val="auto"/>
        </w:rPr>
        <w:t>nº</w:t>
      </w:r>
      <w:r w:rsidR="00AE605E">
        <w:rPr>
          <w:rFonts w:asciiTheme="minorHAnsi" w:hAnsiTheme="minorHAnsi" w:cstheme="minorHAnsi"/>
          <w:i/>
          <w:iCs/>
          <w:color w:val="auto"/>
        </w:rPr>
        <w:t>6</w:t>
      </w:r>
      <w:r w:rsidR="00AE605E" w:rsidRPr="00AE605E">
        <w:rPr>
          <w:rFonts w:asciiTheme="minorHAnsi" w:hAnsiTheme="minorHAnsi" w:cstheme="minorHAnsi"/>
          <w:i/>
          <w:iCs/>
          <w:color w:val="auto"/>
        </w:rPr>
        <w:t xml:space="preserve"> de 28 de dezembro de 2005, o inciso </w:t>
      </w:r>
      <w:r w:rsidR="00AE605E">
        <w:rPr>
          <w:rFonts w:asciiTheme="minorHAnsi" w:hAnsiTheme="minorHAnsi" w:cstheme="minorHAnsi"/>
          <w:i/>
          <w:iCs/>
          <w:color w:val="auto"/>
        </w:rPr>
        <w:t>I</w:t>
      </w:r>
      <w:r w:rsidR="00AE605E" w:rsidRPr="00AE605E">
        <w:rPr>
          <w:rFonts w:asciiTheme="minorHAnsi" w:hAnsiTheme="minorHAnsi" w:cstheme="minorHAnsi"/>
          <w:i/>
          <w:iCs/>
          <w:color w:val="auto"/>
        </w:rPr>
        <w:t>X e o §5º</w:t>
      </w:r>
      <w:r w:rsidR="00AE605E">
        <w:rPr>
          <w:rFonts w:asciiTheme="minorHAnsi" w:hAnsiTheme="minorHAnsi" w:cstheme="minorHAnsi"/>
          <w:i/>
          <w:iCs/>
          <w:color w:val="auto"/>
        </w:rPr>
        <w:t xml:space="preserve">, para isentar os imóveis </w:t>
      </w:r>
      <w:r w:rsidR="00AE605E" w:rsidRPr="00AE605E">
        <w:rPr>
          <w:rFonts w:asciiTheme="minorHAnsi" w:hAnsiTheme="minorHAnsi" w:cstheme="minorHAnsi"/>
          <w:i/>
          <w:iCs/>
          <w:color w:val="auto"/>
        </w:rPr>
        <w:t>alugados ou cedidos às associações regularmente inscritas no Conselho Municipal de Assistência Social ou no Conselho Municipal de Saúde.</w:t>
      </w:r>
      <w:r w:rsidR="007346C4" w:rsidRPr="00642E0E">
        <w:rPr>
          <w:rFonts w:asciiTheme="minorHAnsi" w:hAnsiTheme="minorHAnsi" w:cstheme="minorHAnsi"/>
          <w:i/>
          <w:iCs/>
          <w:color w:val="auto"/>
        </w:rPr>
        <w:t>”</w:t>
      </w:r>
    </w:p>
    <w:p w14:paraId="3EA2114F" w14:textId="77777777" w:rsidR="007346C4" w:rsidRPr="00642E0E" w:rsidRDefault="007346C4" w:rsidP="007346C4">
      <w:pPr>
        <w:pStyle w:val="Default"/>
        <w:rPr>
          <w:rFonts w:asciiTheme="minorHAnsi" w:hAnsiTheme="minorHAnsi" w:cstheme="minorHAnsi"/>
          <w:b/>
          <w:bCs/>
          <w:color w:val="auto"/>
        </w:rPr>
      </w:pPr>
    </w:p>
    <w:p w14:paraId="6905E204" w14:textId="576AE218" w:rsidR="000E7768" w:rsidRPr="00642E0E" w:rsidRDefault="000E7768" w:rsidP="000E7768">
      <w:pPr>
        <w:pStyle w:val="Default"/>
        <w:spacing w:line="360" w:lineRule="auto"/>
        <w:jc w:val="center"/>
        <w:rPr>
          <w:rFonts w:asciiTheme="minorHAnsi" w:hAnsiTheme="minorHAnsi" w:cstheme="minorHAnsi"/>
          <w:i/>
          <w:iCs/>
          <w:color w:val="FF0000"/>
        </w:rPr>
      </w:pPr>
      <w:r w:rsidRPr="00642E0E">
        <w:rPr>
          <w:rFonts w:asciiTheme="minorHAnsi" w:hAnsiTheme="minorHAnsi" w:cstheme="minorHAnsi"/>
          <w:i/>
          <w:iCs/>
          <w:color w:val="FF0000"/>
        </w:rPr>
        <w:t>A Câmara Municipal de Bicas decreta...</w:t>
      </w:r>
    </w:p>
    <w:p w14:paraId="5F50852F" w14:textId="77777777" w:rsidR="000E7768" w:rsidRPr="00642E0E" w:rsidRDefault="000E7768" w:rsidP="000E7768">
      <w:pPr>
        <w:pStyle w:val="Default"/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p w14:paraId="4DAA4D26" w14:textId="48FDF869" w:rsidR="00AE605E" w:rsidRDefault="00F343B2" w:rsidP="0080765A">
      <w:pPr>
        <w:pStyle w:val="Default"/>
        <w:spacing w:after="240"/>
        <w:ind w:firstLine="708"/>
        <w:jc w:val="both"/>
      </w:pPr>
      <w:r w:rsidRPr="0076435E">
        <w:rPr>
          <w:b/>
          <w:bCs/>
        </w:rPr>
        <w:t>Art. 1º</w:t>
      </w:r>
      <w:r w:rsidR="00AE605E">
        <w:rPr>
          <w:b/>
          <w:bCs/>
        </w:rPr>
        <w:t xml:space="preserve"> </w:t>
      </w:r>
      <w:r>
        <w:t xml:space="preserve"> Acrescenta ao art.</w:t>
      </w:r>
      <w:r w:rsidR="00AE605E">
        <w:t>19</w:t>
      </w:r>
      <w:r>
        <w:t xml:space="preserve">º da Lei nº14.544, de 26 de dezembro de 2022, o inciso </w:t>
      </w:r>
      <w:r w:rsidR="00AE605E">
        <w:t>IX</w:t>
      </w:r>
      <w:r>
        <w:t xml:space="preserve"> e o §5º, com a seguinte redação:</w:t>
      </w:r>
    </w:p>
    <w:p w14:paraId="12BB843B" w14:textId="57284A4C" w:rsidR="00AE605E" w:rsidRDefault="00A425F4" w:rsidP="0080765A">
      <w:pPr>
        <w:pStyle w:val="Default"/>
        <w:spacing w:after="240"/>
        <w:ind w:firstLine="708"/>
        <w:jc w:val="both"/>
      </w:pPr>
      <w:r>
        <w:t>“</w:t>
      </w:r>
      <w:r w:rsidR="00F343B2">
        <w:t xml:space="preserve">Art. </w:t>
      </w:r>
      <w:r w:rsidR="00AE605E">
        <w:t>19</w:t>
      </w:r>
      <w:r w:rsidR="00F343B2">
        <w:t>º (...)</w:t>
      </w:r>
    </w:p>
    <w:p w14:paraId="62C70148" w14:textId="77777777" w:rsidR="00AE605E" w:rsidRDefault="00F343B2" w:rsidP="0080765A">
      <w:pPr>
        <w:pStyle w:val="Default"/>
        <w:spacing w:after="240"/>
        <w:ind w:firstLine="708"/>
        <w:jc w:val="both"/>
      </w:pPr>
      <w:r>
        <w:t>(...)</w:t>
      </w:r>
    </w:p>
    <w:p w14:paraId="22D0BE22" w14:textId="77777777" w:rsidR="00AE605E" w:rsidRDefault="00AE605E" w:rsidP="0080765A">
      <w:pPr>
        <w:pStyle w:val="Default"/>
        <w:spacing w:after="240"/>
        <w:ind w:firstLine="708"/>
        <w:jc w:val="both"/>
      </w:pPr>
      <w:r>
        <w:t>IX</w:t>
      </w:r>
      <w:r w:rsidR="00F343B2">
        <w:t xml:space="preserve"> - Os imóveis alugados ou cedidos às associações regularmente inscritas no Conselho Municipal de Assistência Social ou no Conselho Municipal de Saúde, desde que sejam utilizadas como sede da associação e estas estejam em efetivo funcionamento, conforme atestado pelo respectivo Conselho Municipal.</w:t>
      </w:r>
    </w:p>
    <w:p w14:paraId="0EEC425D" w14:textId="77777777" w:rsidR="00AE605E" w:rsidRDefault="00F343B2" w:rsidP="0080765A">
      <w:pPr>
        <w:pStyle w:val="Default"/>
        <w:spacing w:after="240"/>
        <w:ind w:firstLine="708"/>
        <w:jc w:val="both"/>
      </w:pPr>
      <w:r>
        <w:t>(...)</w:t>
      </w:r>
    </w:p>
    <w:p w14:paraId="789C767C" w14:textId="7D3E584C" w:rsidR="0080765A" w:rsidRPr="00AE605E" w:rsidRDefault="00F343B2" w:rsidP="00AE605E">
      <w:pPr>
        <w:pStyle w:val="Default"/>
        <w:spacing w:after="240"/>
        <w:ind w:firstLine="708"/>
        <w:jc w:val="both"/>
      </w:pPr>
      <w:r>
        <w:t xml:space="preserve">§5º Para fazer jus à isenção de que trata o inciso </w:t>
      </w:r>
      <w:r w:rsidR="00AE605E">
        <w:t>I</w:t>
      </w:r>
      <w:r>
        <w:t>X deste artigo, deverão ser apresentados pela entidade interessada, para fins de comprovação da atividade no imóvel, na data do fato gerador, a cópia do contrato de locação ou instrumento de cessão, comodato ou equivalente em que conste cláusula transferindo ao locatário ou comodatário a responsabilidade pelo pagamento do IPTU, assim como atestado de inscrição no Conselho Municipal de Assistência Social ou no Conselho Municipal de Saúde.</w:t>
      </w:r>
      <w:r w:rsidR="00A425F4">
        <w:t>”</w:t>
      </w:r>
    </w:p>
    <w:p w14:paraId="0F35ACE1" w14:textId="026ECC1A" w:rsidR="00642E0E" w:rsidRPr="00642E0E" w:rsidRDefault="0080765A" w:rsidP="00AE605E">
      <w:pPr>
        <w:pStyle w:val="Default"/>
        <w:spacing w:after="240"/>
        <w:ind w:firstLine="708"/>
        <w:jc w:val="both"/>
        <w:rPr>
          <w:rFonts w:asciiTheme="minorHAnsi" w:hAnsiTheme="minorHAnsi" w:cstheme="minorHAnsi"/>
          <w:b/>
          <w:bCs/>
        </w:rPr>
      </w:pPr>
      <w:r w:rsidRPr="0080765A">
        <w:rPr>
          <w:rFonts w:asciiTheme="minorHAnsi" w:eastAsia="Times New Roman" w:hAnsiTheme="minorHAnsi" w:cstheme="minorHAnsi"/>
          <w:b/>
          <w:bCs/>
          <w:lang w:eastAsia="pt-BR"/>
        </w:rPr>
        <w:t>Art. 2</w:t>
      </w:r>
      <w:proofErr w:type="gramStart"/>
      <w:r w:rsidRPr="0080765A">
        <w:rPr>
          <w:rFonts w:asciiTheme="minorHAnsi" w:eastAsia="Times New Roman" w:hAnsiTheme="minorHAnsi" w:cstheme="minorHAnsi"/>
          <w:b/>
          <w:bCs/>
          <w:lang w:eastAsia="pt-BR"/>
        </w:rPr>
        <w:t xml:space="preserve">º </w:t>
      </w:r>
      <w:r w:rsidRPr="0080765A">
        <w:rPr>
          <w:rFonts w:asciiTheme="minorHAnsi" w:eastAsia="Times New Roman" w:hAnsiTheme="minorHAnsi" w:cstheme="minorHAnsi"/>
          <w:lang w:eastAsia="pt-BR"/>
        </w:rPr>
        <w:t xml:space="preserve"> </w:t>
      </w:r>
      <w:r w:rsidR="00AE605E">
        <w:t>Esta</w:t>
      </w:r>
      <w:proofErr w:type="gramEnd"/>
      <w:r w:rsidR="00AE605E">
        <w:t xml:space="preserve"> Lei entra em vigor na data de sua publicação. </w:t>
      </w:r>
    </w:p>
    <w:p w14:paraId="4DCF0367" w14:textId="1BD0C648" w:rsidR="00104133" w:rsidRDefault="000E7768" w:rsidP="00642E0E">
      <w:pPr>
        <w:pStyle w:val="Default"/>
        <w:spacing w:after="240"/>
        <w:jc w:val="both"/>
        <w:rPr>
          <w:rFonts w:asciiTheme="minorHAnsi" w:hAnsiTheme="minorHAnsi" w:cstheme="minorHAnsi"/>
          <w:b/>
          <w:bCs/>
        </w:rPr>
      </w:pPr>
      <w:r w:rsidRPr="00642E0E">
        <w:rPr>
          <w:rFonts w:asciiTheme="minorHAnsi" w:hAnsiTheme="minorHAnsi" w:cstheme="minorHAnsi"/>
          <w:b/>
          <w:bCs/>
        </w:rPr>
        <w:t xml:space="preserve">Bicas, </w:t>
      </w:r>
      <w:r w:rsidR="003A3465">
        <w:rPr>
          <w:rFonts w:asciiTheme="minorHAnsi" w:hAnsiTheme="minorHAnsi" w:cstheme="minorHAnsi"/>
          <w:b/>
          <w:bCs/>
        </w:rPr>
        <w:t>03</w:t>
      </w:r>
      <w:r w:rsidRPr="00642E0E">
        <w:rPr>
          <w:rFonts w:asciiTheme="minorHAnsi" w:hAnsiTheme="minorHAnsi" w:cstheme="minorHAnsi"/>
          <w:b/>
          <w:bCs/>
        </w:rPr>
        <w:t xml:space="preserve"> de </w:t>
      </w:r>
      <w:r w:rsidR="003A3465">
        <w:rPr>
          <w:rFonts w:asciiTheme="minorHAnsi" w:hAnsiTheme="minorHAnsi" w:cstheme="minorHAnsi"/>
          <w:b/>
          <w:bCs/>
        </w:rPr>
        <w:t>março</w:t>
      </w:r>
      <w:r w:rsidR="00642E0E">
        <w:rPr>
          <w:rFonts w:asciiTheme="minorHAnsi" w:hAnsiTheme="minorHAnsi" w:cstheme="minorHAnsi"/>
          <w:b/>
          <w:bCs/>
        </w:rPr>
        <w:t xml:space="preserve"> </w:t>
      </w:r>
      <w:r w:rsidRPr="00642E0E">
        <w:rPr>
          <w:rFonts w:asciiTheme="minorHAnsi" w:hAnsiTheme="minorHAnsi" w:cstheme="minorHAnsi"/>
          <w:b/>
          <w:bCs/>
        </w:rPr>
        <w:t>de 20</w:t>
      </w:r>
      <w:r w:rsidR="00642E0E">
        <w:rPr>
          <w:rFonts w:asciiTheme="minorHAnsi" w:hAnsiTheme="minorHAnsi" w:cstheme="minorHAnsi"/>
          <w:b/>
          <w:bCs/>
        </w:rPr>
        <w:t>2</w:t>
      </w:r>
      <w:r w:rsidR="0080765A">
        <w:rPr>
          <w:rFonts w:asciiTheme="minorHAnsi" w:hAnsiTheme="minorHAnsi" w:cstheme="minorHAnsi"/>
          <w:b/>
          <w:bCs/>
        </w:rPr>
        <w:t>3</w:t>
      </w:r>
    </w:p>
    <w:p w14:paraId="500499AF" w14:textId="6C131C90" w:rsidR="00642E0E" w:rsidRDefault="00642E0E" w:rsidP="006A7504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343BBFEB" w14:textId="0F554220" w:rsidR="00642E0E" w:rsidRDefault="00642E0E" w:rsidP="006A7504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54D67F18" w14:textId="77777777" w:rsidR="00642E0E" w:rsidRDefault="00642E0E" w:rsidP="006A7504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12B0023D" w14:textId="1D80A091" w:rsidR="0080765A" w:rsidRDefault="00A425F4" w:rsidP="00ED2F5C">
      <w:pPr>
        <w:pStyle w:val="Default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Rafael Cândido Aquino</w:t>
      </w:r>
    </w:p>
    <w:p w14:paraId="781CF3C3" w14:textId="6D207EDE" w:rsidR="00642E0E" w:rsidRDefault="00642E0E" w:rsidP="00ED2F5C">
      <w:pPr>
        <w:pStyle w:val="Default"/>
        <w:jc w:val="center"/>
        <w:rPr>
          <w:rFonts w:asciiTheme="minorHAnsi" w:hAnsiTheme="minorHAnsi" w:cstheme="minorHAnsi"/>
        </w:rPr>
      </w:pPr>
      <w:r w:rsidRPr="00642E0E">
        <w:rPr>
          <w:rFonts w:asciiTheme="minorHAnsi" w:hAnsiTheme="minorHAnsi" w:cstheme="minorHAnsi"/>
        </w:rPr>
        <w:t>Vereador</w:t>
      </w:r>
      <w:r>
        <w:rPr>
          <w:rFonts w:asciiTheme="minorHAnsi" w:hAnsiTheme="minorHAnsi" w:cstheme="minorHAnsi"/>
        </w:rPr>
        <w:t xml:space="preserve"> proponente</w:t>
      </w:r>
    </w:p>
    <w:p w14:paraId="7CC04375" w14:textId="76E8CFF8" w:rsidR="00642E0E" w:rsidRDefault="00642E0E" w:rsidP="00642E0E">
      <w:pPr>
        <w:pStyle w:val="Default"/>
        <w:spacing w:after="240"/>
        <w:jc w:val="center"/>
        <w:rPr>
          <w:rFonts w:asciiTheme="minorHAnsi" w:hAnsiTheme="minorHAnsi" w:cstheme="minorHAnsi"/>
        </w:rPr>
      </w:pPr>
    </w:p>
    <w:p w14:paraId="2A0959B0" w14:textId="204BDDB8" w:rsidR="00A425F4" w:rsidRPr="00A425F4" w:rsidRDefault="00642E0E" w:rsidP="00A425F4">
      <w:pPr>
        <w:pStyle w:val="Default"/>
        <w:spacing w:after="240"/>
        <w:rPr>
          <w:rFonts w:asciiTheme="minorHAnsi" w:hAnsiTheme="minorHAnsi" w:cstheme="minorHAnsi"/>
        </w:rPr>
      </w:pPr>
      <w:r w:rsidRPr="00642E0E">
        <w:rPr>
          <w:rFonts w:asciiTheme="minorHAnsi" w:hAnsiTheme="minorHAnsi" w:cstheme="minorHAnsi"/>
          <w:b/>
          <w:bCs/>
        </w:rPr>
        <w:t xml:space="preserve">Justificação. </w:t>
      </w:r>
      <w:r w:rsidR="00A425F4" w:rsidRPr="00A425F4">
        <w:rPr>
          <w:rFonts w:asciiTheme="minorHAnsi" w:hAnsiTheme="minorHAnsi" w:cstheme="minorHAnsi"/>
        </w:rPr>
        <w:t>A presente proposição se justifica na medida em que os serviços de assistência social</w:t>
      </w:r>
      <w:r w:rsidR="00A425F4">
        <w:rPr>
          <w:rFonts w:asciiTheme="minorHAnsi" w:hAnsiTheme="minorHAnsi" w:cstheme="minorHAnsi"/>
        </w:rPr>
        <w:t xml:space="preserve"> </w:t>
      </w:r>
      <w:r w:rsidR="00A425F4" w:rsidRPr="00A425F4">
        <w:rPr>
          <w:rFonts w:asciiTheme="minorHAnsi" w:hAnsiTheme="minorHAnsi" w:cstheme="minorHAnsi"/>
        </w:rPr>
        <w:t>prestados pelas entidades inscritas junto ao Conselho Municipal de Assistência Social, à população</w:t>
      </w:r>
      <w:r w:rsidR="00A425F4">
        <w:rPr>
          <w:rFonts w:asciiTheme="minorHAnsi" w:hAnsiTheme="minorHAnsi" w:cstheme="minorHAnsi"/>
        </w:rPr>
        <w:t xml:space="preserve"> </w:t>
      </w:r>
      <w:r w:rsidR="00A425F4" w:rsidRPr="00A425F4">
        <w:rPr>
          <w:rFonts w:asciiTheme="minorHAnsi" w:hAnsiTheme="minorHAnsi" w:cstheme="minorHAnsi"/>
        </w:rPr>
        <w:t xml:space="preserve">do </w:t>
      </w:r>
      <w:r w:rsidR="00A425F4" w:rsidRPr="00A425F4">
        <w:rPr>
          <w:rFonts w:asciiTheme="minorHAnsi" w:hAnsiTheme="minorHAnsi" w:cstheme="minorHAnsi"/>
        </w:rPr>
        <w:lastRenderedPageBreak/>
        <w:t>município, são prestados de maneira obrigatoriamente gratuita, conforme determina a Lei</w:t>
      </w:r>
      <w:r w:rsidR="00A425F4">
        <w:rPr>
          <w:rFonts w:asciiTheme="minorHAnsi" w:hAnsiTheme="minorHAnsi" w:cstheme="minorHAnsi"/>
        </w:rPr>
        <w:t xml:space="preserve"> </w:t>
      </w:r>
      <w:r w:rsidR="00A425F4" w:rsidRPr="00A425F4">
        <w:rPr>
          <w:rFonts w:asciiTheme="minorHAnsi" w:hAnsiTheme="minorHAnsi" w:cstheme="minorHAnsi"/>
        </w:rPr>
        <w:t>Orgânica da Assistência Social (Lei Federal nº8.742/1993).</w:t>
      </w:r>
    </w:p>
    <w:p w14:paraId="1A77E223" w14:textId="1ACEE9AF" w:rsidR="00F91AEB" w:rsidRDefault="00A425F4" w:rsidP="00A425F4">
      <w:pPr>
        <w:pStyle w:val="Default"/>
        <w:spacing w:after="240"/>
        <w:rPr>
          <w:rFonts w:asciiTheme="minorHAnsi" w:hAnsiTheme="minorHAnsi" w:cstheme="minorHAnsi"/>
        </w:rPr>
      </w:pPr>
      <w:r w:rsidRPr="00A425F4">
        <w:rPr>
          <w:rFonts w:asciiTheme="minorHAnsi" w:hAnsiTheme="minorHAnsi" w:cstheme="minorHAnsi"/>
        </w:rPr>
        <w:t>Nesse sentido, tendo em vista o caráter gratuito dos serviços prestados por estas</w:t>
      </w:r>
      <w:r>
        <w:rPr>
          <w:rFonts w:asciiTheme="minorHAnsi" w:hAnsiTheme="minorHAnsi" w:cstheme="minorHAnsi"/>
        </w:rPr>
        <w:t xml:space="preserve"> </w:t>
      </w:r>
      <w:r w:rsidRPr="00A425F4">
        <w:rPr>
          <w:rFonts w:asciiTheme="minorHAnsi" w:hAnsiTheme="minorHAnsi" w:cstheme="minorHAnsi"/>
        </w:rPr>
        <w:t xml:space="preserve">entidades, que podem ser visto como um serviço público, prestado pelo próprio poder </w:t>
      </w:r>
      <w:proofErr w:type="spellStart"/>
      <w:r w:rsidRPr="00A425F4">
        <w:rPr>
          <w:rFonts w:asciiTheme="minorHAnsi" w:hAnsiTheme="minorHAnsi" w:cstheme="minorHAnsi"/>
        </w:rPr>
        <w:t>publico</w:t>
      </w:r>
      <w:proofErr w:type="spellEnd"/>
      <w:r w:rsidRPr="00A425F4">
        <w:rPr>
          <w:rFonts w:asciiTheme="minorHAnsi" w:hAnsiTheme="minorHAnsi" w:cstheme="minorHAnsi"/>
        </w:rPr>
        <w:t xml:space="preserve"> por</w:t>
      </w:r>
      <w:r>
        <w:rPr>
          <w:rFonts w:asciiTheme="minorHAnsi" w:hAnsiTheme="minorHAnsi" w:cstheme="minorHAnsi"/>
        </w:rPr>
        <w:t xml:space="preserve"> </w:t>
      </w:r>
      <w:r w:rsidRPr="00A425F4">
        <w:rPr>
          <w:rFonts w:asciiTheme="minorHAnsi" w:hAnsiTheme="minorHAnsi" w:cstheme="minorHAnsi"/>
        </w:rPr>
        <w:t>intermédio destas entidades, não se justifica a cobrança do tributo.</w:t>
      </w:r>
    </w:p>
    <w:p w14:paraId="6C13322D" w14:textId="0AFFF922" w:rsidR="00513E91" w:rsidRPr="00513E91" w:rsidRDefault="00513E91" w:rsidP="00513E91">
      <w:pPr>
        <w:pStyle w:val="Default"/>
        <w:spacing w:after="240"/>
        <w:rPr>
          <w:rFonts w:asciiTheme="minorHAnsi" w:hAnsiTheme="minorHAnsi" w:cstheme="minorHAnsi"/>
        </w:rPr>
      </w:pPr>
      <w:r w:rsidRPr="00513E91">
        <w:rPr>
          <w:rFonts w:asciiTheme="minorHAnsi" w:hAnsiTheme="minorHAnsi" w:cstheme="minorHAnsi"/>
        </w:rPr>
        <w:t>Vale lembrar que a constituição federal estabelece como hipótese de imunidade</w:t>
      </w:r>
      <w:r>
        <w:rPr>
          <w:rFonts w:asciiTheme="minorHAnsi" w:hAnsiTheme="minorHAnsi" w:cstheme="minorHAnsi"/>
        </w:rPr>
        <w:t xml:space="preserve"> </w:t>
      </w:r>
      <w:r w:rsidRPr="00513E91">
        <w:rPr>
          <w:rFonts w:asciiTheme="minorHAnsi" w:hAnsiTheme="minorHAnsi" w:cstheme="minorHAnsi"/>
        </w:rPr>
        <w:t>prevista no artigo 150, VI, ""a"" da Constituição Federal de 1988, veda a instituição de tributos que</w:t>
      </w:r>
      <w:r>
        <w:rPr>
          <w:rFonts w:asciiTheme="minorHAnsi" w:hAnsiTheme="minorHAnsi" w:cstheme="minorHAnsi"/>
        </w:rPr>
        <w:t xml:space="preserve"> </w:t>
      </w:r>
      <w:r w:rsidRPr="00513E91">
        <w:rPr>
          <w:rFonts w:asciiTheme="minorHAnsi" w:hAnsiTheme="minorHAnsi" w:cstheme="minorHAnsi"/>
        </w:rPr>
        <w:t>tenham como fato gerador o patrimônio, a renda ou os serviços de instituições de educação e de</w:t>
      </w:r>
      <w:r>
        <w:rPr>
          <w:rFonts w:asciiTheme="minorHAnsi" w:hAnsiTheme="minorHAnsi" w:cstheme="minorHAnsi"/>
        </w:rPr>
        <w:t xml:space="preserve"> </w:t>
      </w:r>
      <w:r w:rsidRPr="00513E91">
        <w:rPr>
          <w:rFonts w:asciiTheme="minorHAnsi" w:hAnsiTheme="minorHAnsi" w:cstheme="minorHAnsi"/>
        </w:rPr>
        <w:t>assistência social, sem fins lucrativos. Nesse sentido, a cobrança do tributo, cria embaraços à</w:t>
      </w:r>
      <w:r>
        <w:rPr>
          <w:rFonts w:asciiTheme="minorHAnsi" w:hAnsiTheme="minorHAnsi" w:cstheme="minorHAnsi"/>
        </w:rPr>
        <w:t xml:space="preserve"> </w:t>
      </w:r>
      <w:r w:rsidRPr="00513E91">
        <w:rPr>
          <w:rFonts w:asciiTheme="minorHAnsi" w:hAnsiTheme="minorHAnsi" w:cstheme="minorHAnsi"/>
        </w:rPr>
        <w:t>prestação do serviço, uma vez que, reduz o investimento no serviço para viabilizar o pagamento do</w:t>
      </w:r>
      <w:r>
        <w:rPr>
          <w:rFonts w:asciiTheme="minorHAnsi" w:hAnsiTheme="minorHAnsi" w:cstheme="minorHAnsi"/>
        </w:rPr>
        <w:t xml:space="preserve"> </w:t>
      </w:r>
      <w:r w:rsidRPr="00513E91">
        <w:rPr>
          <w:rFonts w:asciiTheme="minorHAnsi" w:hAnsiTheme="minorHAnsi" w:cstheme="minorHAnsi"/>
        </w:rPr>
        <w:t>tributo.</w:t>
      </w:r>
    </w:p>
    <w:p w14:paraId="50B14D68" w14:textId="2AE28D4B" w:rsidR="00513E91" w:rsidRPr="00513E91" w:rsidRDefault="00513E91" w:rsidP="00513E91">
      <w:pPr>
        <w:pStyle w:val="Default"/>
        <w:spacing w:after="240"/>
        <w:rPr>
          <w:rFonts w:asciiTheme="minorHAnsi" w:hAnsiTheme="minorHAnsi" w:cstheme="minorHAnsi"/>
        </w:rPr>
      </w:pPr>
      <w:r w:rsidRPr="00513E91">
        <w:rPr>
          <w:rFonts w:asciiTheme="minorHAnsi" w:hAnsiTheme="minorHAnsi" w:cstheme="minorHAnsi"/>
        </w:rPr>
        <w:t xml:space="preserve">Destaca-se por fim, a posição do Egrégio TJMG, que entende que </w:t>
      </w:r>
      <w:proofErr w:type="gramStart"/>
      <w:r w:rsidRPr="00513E91">
        <w:rPr>
          <w:rFonts w:asciiTheme="minorHAnsi" w:hAnsiTheme="minorHAnsi" w:cstheme="minorHAnsi"/>
        </w:rPr>
        <w:t>a imunidade tributária</w:t>
      </w:r>
      <w:r>
        <w:rPr>
          <w:rFonts w:asciiTheme="minorHAnsi" w:hAnsiTheme="minorHAnsi" w:cstheme="minorHAnsi"/>
        </w:rPr>
        <w:t xml:space="preserve"> </w:t>
      </w:r>
      <w:r w:rsidRPr="00513E91">
        <w:rPr>
          <w:rFonts w:asciiTheme="minorHAnsi" w:hAnsiTheme="minorHAnsi" w:cstheme="minorHAnsi"/>
        </w:rPr>
        <w:t>se mantem</w:t>
      </w:r>
      <w:proofErr w:type="gramEnd"/>
      <w:r w:rsidRPr="00513E91">
        <w:rPr>
          <w:rFonts w:asciiTheme="minorHAnsi" w:hAnsiTheme="minorHAnsi" w:cstheme="minorHAnsi"/>
        </w:rPr>
        <w:t xml:space="preserve"> mesmo se o imóvel estiver alugado a terceiro, justamente para viabilizar a concentração</w:t>
      </w:r>
      <w:r>
        <w:rPr>
          <w:rFonts w:asciiTheme="minorHAnsi" w:hAnsiTheme="minorHAnsi" w:cstheme="minorHAnsi"/>
        </w:rPr>
        <w:t xml:space="preserve"> </w:t>
      </w:r>
      <w:r w:rsidRPr="00513E91">
        <w:rPr>
          <w:rFonts w:asciiTheme="minorHAnsi" w:hAnsiTheme="minorHAnsi" w:cstheme="minorHAnsi"/>
        </w:rPr>
        <w:t>de todo o recurso do aluguel na execução do objeto da entidade, conforme abaixo:</w:t>
      </w:r>
    </w:p>
    <w:p w14:paraId="4F854C88" w14:textId="75828B62" w:rsidR="00513E91" w:rsidRPr="00513E91" w:rsidRDefault="00513E91" w:rsidP="00142CCE">
      <w:pPr>
        <w:pStyle w:val="Default"/>
        <w:spacing w:after="240"/>
        <w:ind w:left="2124"/>
        <w:rPr>
          <w:rFonts w:asciiTheme="minorHAnsi" w:hAnsiTheme="minorHAnsi" w:cstheme="minorHAnsi"/>
        </w:rPr>
      </w:pPr>
      <w:r w:rsidRPr="00513E91">
        <w:rPr>
          <w:rFonts w:asciiTheme="minorHAnsi" w:hAnsiTheme="minorHAnsi" w:cstheme="minorHAnsi"/>
        </w:rPr>
        <w:t>"Embargos à execução fiscal - UBEE - IPTU - Imunidade tributária - Taxa de serviços</w:t>
      </w:r>
      <w:r>
        <w:rPr>
          <w:rFonts w:asciiTheme="minorHAnsi" w:hAnsiTheme="minorHAnsi" w:cstheme="minorHAnsi"/>
        </w:rPr>
        <w:t xml:space="preserve"> </w:t>
      </w:r>
      <w:r w:rsidRPr="00513E91">
        <w:rPr>
          <w:rFonts w:asciiTheme="minorHAnsi" w:hAnsiTheme="minorHAnsi" w:cstheme="minorHAnsi"/>
        </w:rPr>
        <w:t>urbanos - Limpeza Pública - Município de Belo Horizonte - Cobrança indevida - Serviços indivisíveis e</w:t>
      </w:r>
      <w:r>
        <w:rPr>
          <w:rFonts w:asciiTheme="minorHAnsi" w:hAnsiTheme="minorHAnsi" w:cstheme="minorHAnsi"/>
        </w:rPr>
        <w:t xml:space="preserve"> </w:t>
      </w:r>
      <w:r w:rsidRPr="00513E91">
        <w:rPr>
          <w:rFonts w:asciiTheme="minorHAnsi" w:hAnsiTheme="minorHAnsi" w:cstheme="minorHAnsi"/>
        </w:rPr>
        <w:t>inespecíficos - Art. 145, II da CF/88 - Taxa de fiscalização de aparelhos de transporte - devida.</w:t>
      </w:r>
    </w:p>
    <w:p w14:paraId="1B3386C9" w14:textId="45D4757C" w:rsidR="00513E91" w:rsidRPr="00513E91" w:rsidRDefault="00513E91" w:rsidP="00142CCE">
      <w:pPr>
        <w:pStyle w:val="Default"/>
        <w:spacing w:after="240"/>
        <w:ind w:left="2124"/>
        <w:rPr>
          <w:rFonts w:asciiTheme="minorHAnsi" w:hAnsiTheme="minorHAnsi" w:cstheme="minorHAnsi"/>
        </w:rPr>
      </w:pPr>
      <w:r w:rsidRPr="00513E91">
        <w:rPr>
          <w:rFonts w:asciiTheme="minorHAnsi" w:hAnsiTheme="minorHAnsi" w:cstheme="minorHAnsi"/>
        </w:rPr>
        <w:t>De acordo com o disposto no artigo 150, VI, ""a"" da Constituição Federal de 1988, é</w:t>
      </w:r>
      <w:r>
        <w:rPr>
          <w:rFonts w:asciiTheme="minorHAnsi" w:hAnsiTheme="minorHAnsi" w:cstheme="minorHAnsi"/>
        </w:rPr>
        <w:t xml:space="preserve"> </w:t>
      </w:r>
      <w:r w:rsidRPr="00513E91">
        <w:rPr>
          <w:rFonts w:asciiTheme="minorHAnsi" w:hAnsiTheme="minorHAnsi" w:cstheme="minorHAnsi"/>
        </w:rPr>
        <w:t>vedada a instituição de tributos que tenham como fato gerador o patrimônio, a renda ou os serviços</w:t>
      </w:r>
      <w:r>
        <w:rPr>
          <w:rFonts w:asciiTheme="minorHAnsi" w:hAnsiTheme="minorHAnsi" w:cstheme="minorHAnsi"/>
        </w:rPr>
        <w:t xml:space="preserve"> </w:t>
      </w:r>
      <w:r w:rsidRPr="00513E91">
        <w:rPr>
          <w:rFonts w:asciiTheme="minorHAnsi" w:hAnsiTheme="minorHAnsi" w:cstheme="minorHAnsi"/>
        </w:rPr>
        <w:t>de instituições de educação e de assistência social, sem fins lucrativos, mesmo havendo imóvel</w:t>
      </w:r>
      <w:r>
        <w:rPr>
          <w:rFonts w:asciiTheme="minorHAnsi" w:hAnsiTheme="minorHAnsi" w:cstheme="minorHAnsi"/>
        </w:rPr>
        <w:t xml:space="preserve"> </w:t>
      </w:r>
      <w:r w:rsidRPr="00513E91">
        <w:rPr>
          <w:rFonts w:asciiTheme="minorHAnsi" w:hAnsiTheme="minorHAnsi" w:cstheme="minorHAnsi"/>
        </w:rPr>
        <w:t>alugado a terceiros, gerando renda, prevalece a isenção do IPTU. Posição firmada pelo STF.</w:t>
      </w:r>
    </w:p>
    <w:p w14:paraId="672144B2" w14:textId="26C25FDE" w:rsidR="00513E91" w:rsidRPr="00513E91" w:rsidRDefault="00513E91" w:rsidP="00142CCE">
      <w:pPr>
        <w:pStyle w:val="Default"/>
        <w:spacing w:after="240"/>
        <w:ind w:left="2124"/>
        <w:rPr>
          <w:rFonts w:asciiTheme="minorHAnsi" w:hAnsiTheme="minorHAnsi" w:cstheme="minorHAnsi"/>
        </w:rPr>
      </w:pPr>
      <w:r w:rsidRPr="00513E91">
        <w:rPr>
          <w:rFonts w:asciiTheme="minorHAnsi" w:hAnsiTheme="minorHAnsi" w:cstheme="minorHAnsi"/>
        </w:rPr>
        <w:t>A Taxa de Serviços Urbanos - limpeza pública, para ser cobrada, deverá permitir a</w:t>
      </w:r>
      <w:r>
        <w:rPr>
          <w:rFonts w:asciiTheme="minorHAnsi" w:hAnsiTheme="minorHAnsi" w:cstheme="minorHAnsi"/>
        </w:rPr>
        <w:t xml:space="preserve"> </w:t>
      </w:r>
      <w:r w:rsidRPr="00513E91">
        <w:rPr>
          <w:rFonts w:asciiTheme="minorHAnsi" w:hAnsiTheme="minorHAnsi" w:cstheme="minorHAnsi"/>
        </w:rPr>
        <w:t>utilização separada ou destacada para cada contribuinte. O serviço de limpeza inclui-se entre os</w:t>
      </w:r>
      <w:r>
        <w:rPr>
          <w:rFonts w:asciiTheme="minorHAnsi" w:hAnsiTheme="minorHAnsi" w:cstheme="minorHAnsi"/>
        </w:rPr>
        <w:t xml:space="preserve"> </w:t>
      </w:r>
      <w:r w:rsidRPr="00513E91">
        <w:rPr>
          <w:rFonts w:asciiTheme="minorHAnsi" w:hAnsiTheme="minorHAnsi" w:cstheme="minorHAnsi"/>
        </w:rPr>
        <w:t>serviços genéricos que beneficiam indistintamente a todos, sendo impossível à apuração do proveito</w:t>
      </w:r>
      <w:r>
        <w:rPr>
          <w:rFonts w:asciiTheme="minorHAnsi" w:hAnsiTheme="minorHAnsi" w:cstheme="minorHAnsi"/>
        </w:rPr>
        <w:t xml:space="preserve"> </w:t>
      </w:r>
      <w:r w:rsidRPr="00513E91">
        <w:rPr>
          <w:rFonts w:asciiTheme="minorHAnsi" w:hAnsiTheme="minorHAnsi" w:cstheme="minorHAnsi"/>
        </w:rPr>
        <w:t>individual retirado dele por cada munícipe.</w:t>
      </w:r>
    </w:p>
    <w:p w14:paraId="68D51BF9" w14:textId="12BB8B02" w:rsidR="00513E91" w:rsidRPr="00513E91" w:rsidRDefault="00513E91" w:rsidP="00142CCE">
      <w:pPr>
        <w:pStyle w:val="Default"/>
        <w:spacing w:after="240"/>
        <w:ind w:left="2124"/>
        <w:rPr>
          <w:rFonts w:asciiTheme="minorHAnsi" w:hAnsiTheme="minorHAnsi" w:cstheme="minorHAnsi"/>
        </w:rPr>
      </w:pPr>
      <w:r w:rsidRPr="00513E91">
        <w:rPr>
          <w:rFonts w:asciiTheme="minorHAnsi" w:hAnsiTheme="minorHAnsi" w:cstheme="minorHAnsi"/>
        </w:rPr>
        <w:t>É devida a cobrança da taxa de fiscalização de aparelho de transporte (TFAT). (TJMG -</w:t>
      </w:r>
      <w:r>
        <w:rPr>
          <w:rFonts w:asciiTheme="minorHAnsi" w:hAnsiTheme="minorHAnsi" w:cstheme="minorHAnsi"/>
        </w:rPr>
        <w:t xml:space="preserve"> </w:t>
      </w:r>
      <w:r w:rsidRPr="00513E91">
        <w:rPr>
          <w:rFonts w:asciiTheme="minorHAnsi" w:hAnsiTheme="minorHAnsi" w:cstheme="minorHAnsi"/>
        </w:rPr>
        <w:t xml:space="preserve">Apelação Cível 1.0024.01.027211-0/001, Relator(a): Des.(a) Jarbas </w:t>
      </w:r>
      <w:proofErr w:type="gramStart"/>
      <w:r w:rsidRPr="00513E91">
        <w:rPr>
          <w:rFonts w:asciiTheme="minorHAnsi" w:hAnsiTheme="minorHAnsi" w:cstheme="minorHAnsi"/>
        </w:rPr>
        <w:t>Ladeira ,</w:t>
      </w:r>
      <w:proofErr w:type="gramEnd"/>
      <w:r w:rsidRPr="00513E91">
        <w:rPr>
          <w:rFonts w:asciiTheme="minorHAnsi" w:hAnsiTheme="minorHAnsi" w:cstheme="minorHAnsi"/>
        </w:rPr>
        <w:t xml:space="preserve"> 2ª CÂMARA CÍVEL,</w:t>
      </w:r>
      <w:r>
        <w:rPr>
          <w:rFonts w:asciiTheme="minorHAnsi" w:hAnsiTheme="minorHAnsi" w:cstheme="minorHAnsi"/>
        </w:rPr>
        <w:t xml:space="preserve"> </w:t>
      </w:r>
      <w:r w:rsidRPr="00513E91">
        <w:rPr>
          <w:rFonts w:asciiTheme="minorHAnsi" w:hAnsiTheme="minorHAnsi" w:cstheme="minorHAnsi"/>
        </w:rPr>
        <w:t>julgamento em 02/03/2004, publicação da súmula em 12/03/2004)."</w:t>
      </w:r>
    </w:p>
    <w:p w14:paraId="343C3A1B" w14:textId="682D91B1" w:rsidR="00513E91" w:rsidRDefault="00513E91" w:rsidP="00513E91">
      <w:pPr>
        <w:pStyle w:val="Default"/>
        <w:spacing w:after="240"/>
        <w:rPr>
          <w:rFonts w:asciiTheme="minorHAnsi" w:hAnsiTheme="minorHAnsi" w:cstheme="minorHAnsi"/>
        </w:rPr>
      </w:pPr>
      <w:r w:rsidRPr="00513E91">
        <w:rPr>
          <w:rFonts w:asciiTheme="minorHAnsi" w:hAnsiTheme="minorHAnsi" w:cstheme="minorHAnsi"/>
        </w:rPr>
        <w:t>Ademais, é importante destacar que a Lei Federal nº8.245/1991, que "dispõe sobre as</w:t>
      </w:r>
      <w:r>
        <w:rPr>
          <w:rFonts w:asciiTheme="minorHAnsi" w:hAnsiTheme="minorHAnsi" w:cstheme="minorHAnsi"/>
        </w:rPr>
        <w:t xml:space="preserve"> </w:t>
      </w:r>
      <w:r w:rsidRPr="00513E91">
        <w:rPr>
          <w:rFonts w:asciiTheme="minorHAnsi" w:hAnsiTheme="minorHAnsi" w:cstheme="minorHAnsi"/>
        </w:rPr>
        <w:t>locações dos imóveis urbanos e os procedimentos a elas pertinentes", garante ao locador, a</w:t>
      </w:r>
      <w:r>
        <w:rPr>
          <w:rFonts w:asciiTheme="minorHAnsi" w:hAnsiTheme="minorHAnsi" w:cstheme="minorHAnsi"/>
        </w:rPr>
        <w:t xml:space="preserve"> </w:t>
      </w:r>
      <w:r w:rsidRPr="00513E91">
        <w:rPr>
          <w:rFonts w:asciiTheme="minorHAnsi" w:hAnsiTheme="minorHAnsi" w:cstheme="minorHAnsi"/>
        </w:rPr>
        <w:t>possibilidade de transferir ao locatário a responsabilidade pelo pagamento dos tributos incidentes</w:t>
      </w:r>
      <w:r>
        <w:rPr>
          <w:rFonts w:asciiTheme="minorHAnsi" w:hAnsiTheme="minorHAnsi" w:cstheme="minorHAnsi"/>
        </w:rPr>
        <w:t xml:space="preserve"> </w:t>
      </w:r>
      <w:r w:rsidRPr="00513E91">
        <w:rPr>
          <w:rFonts w:asciiTheme="minorHAnsi" w:hAnsiTheme="minorHAnsi" w:cstheme="minorHAnsi"/>
        </w:rPr>
        <w:t>sobre o imóvel, conforme se verifica no art.25 da referida lei, abaixo transcrito:</w:t>
      </w:r>
    </w:p>
    <w:p w14:paraId="44836B90" w14:textId="636028E5" w:rsidR="00513E91" w:rsidRPr="00513E91" w:rsidRDefault="00513E91" w:rsidP="00142CCE">
      <w:pPr>
        <w:pStyle w:val="Default"/>
        <w:spacing w:after="240"/>
        <w:ind w:left="2124"/>
        <w:rPr>
          <w:rFonts w:asciiTheme="minorHAnsi" w:hAnsiTheme="minorHAnsi" w:cstheme="minorHAnsi"/>
        </w:rPr>
      </w:pPr>
      <w:r w:rsidRPr="00513E91">
        <w:rPr>
          <w:rFonts w:asciiTheme="minorHAnsi" w:hAnsiTheme="minorHAnsi" w:cstheme="minorHAnsi"/>
        </w:rPr>
        <w:lastRenderedPageBreak/>
        <w:t>"Art. 25. Atribuída ao locatário a responsabilidade pelo pagamento dos tributos, encargos e</w:t>
      </w:r>
      <w:r>
        <w:rPr>
          <w:rFonts w:asciiTheme="minorHAnsi" w:hAnsiTheme="minorHAnsi" w:cstheme="minorHAnsi"/>
        </w:rPr>
        <w:t xml:space="preserve"> </w:t>
      </w:r>
      <w:r w:rsidRPr="00513E91">
        <w:rPr>
          <w:rFonts w:asciiTheme="minorHAnsi" w:hAnsiTheme="minorHAnsi" w:cstheme="minorHAnsi"/>
        </w:rPr>
        <w:t>despesas ordinárias de condomínio, o locador poderá cobrar tais verbas juntamente com o aluguel do</w:t>
      </w:r>
      <w:r>
        <w:rPr>
          <w:rFonts w:asciiTheme="minorHAnsi" w:hAnsiTheme="minorHAnsi" w:cstheme="minorHAnsi"/>
        </w:rPr>
        <w:t xml:space="preserve"> </w:t>
      </w:r>
      <w:r w:rsidRPr="00513E91">
        <w:rPr>
          <w:rFonts w:asciiTheme="minorHAnsi" w:hAnsiTheme="minorHAnsi" w:cstheme="minorHAnsi"/>
        </w:rPr>
        <w:t>mês a que se refiram.</w:t>
      </w:r>
    </w:p>
    <w:p w14:paraId="3A94F1A4" w14:textId="5A4ECC69" w:rsidR="00513E91" w:rsidRPr="00513E91" w:rsidRDefault="00513E91" w:rsidP="00142CCE">
      <w:pPr>
        <w:pStyle w:val="Default"/>
        <w:spacing w:after="240"/>
        <w:ind w:left="2124"/>
        <w:rPr>
          <w:rFonts w:asciiTheme="minorHAnsi" w:hAnsiTheme="minorHAnsi" w:cstheme="minorHAnsi"/>
        </w:rPr>
      </w:pPr>
      <w:r w:rsidRPr="00513E91">
        <w:rPr>
          <w:rFonts w:asciiTheme="minorHAnsi" w:hAnsiTheme="minorHAnsi" w:cstheme="minorHAnsi"/>
        </w:rPr>
        <w:t>Parágrafo único. Se o locador antecipar os pagamentos, a ele pertencerão as vantagens</w:t>
      </w:r>
      <w:r>
        <w:rPr>
          <w:rFonts w:asciiTheme="minorHAnsi" w:hAnsiTheme="minorHAnsi" w:cstheme="minorHAnsi"/>
        </w:rPr>
        <w:t xml:space="preserve"> </w:t>
      </w:r>
      <w:r w:rsidRPr="00513E91">
        <w:rPr>
          <w:rFonts w:asciiTheme="minorHAnsi" w:hAnsiTheme="minorHAnsi" w:cstheme="minorHAnsi"/>
        </w:rPr>
        <w:t xml:space="preserve">daí advindas, salvo se o locatário </w:t>
      </w:r>
      <w:proofErr w:type="gramStart"/>
      <w:r w:rsidRPr="00513E91">
        <w:rPr>
          <w:rFonts w:asciiTheme="minorHAnsi" w:hAnsiTheme="minorHAnsi" w:cstheme="minorHAnsi"/>
        </w:rPr>
        <w:t>reembolsá-lo</w:t>
      </w:r>
      <w:proofErr w:type="gramEnd"/>
      <w:r w:rsidRPr="00513E91">
        <w:rPr>
          <w:rFonts w:asciiTheme="minorHAnsi" w:hAnsiTheme="minorHAnsi" w:cstheme="minorHAnsi"/>
        </w:rPr>
        <w:t xml:space="preserve"> integralmente."</w:t>
      </w:r>
    </w:p>
    <w:p w14:paraId="3FA7ACFA" w14:textId="3B85E024" w:rsidR="00513E91" w:rsidRPr="00513E91" w:rsidRDefault="00513E91" w:rsidP="00513E91">
      <w:pPr>
        <w:pStyle w:val="Default"/>
        <w:spacing w:after="240"/>
        <w:rPr>
          <w:rFonts w:asciiTheme="minorHAnsi" w:hAnsiTheme="minorHAnsi" w:cstheme="minorHAnsi"/>
        </w:rPr>
      </w:pPr>
      <w:r w:rsidRPr="00513E91">
        <w:rPr>
          <w:rFonts w:asciiTheme="minorHAnsi" w:hAnsiTheme="minorHAnsi" w:cstheme="minorHAnsi"/>
        </w:rPr>
        <w:t>Dessa forma, é a aprovação desta proposição legislativa fará justiça fiscal às instituições</w:t>
      </w:r>
      <w:r>
        <w:rPr>
          <w:rFonts w:asciiTheme="minorHAnsi" w:hAnsiTheme="minorHAnsi" w:cstheme="minorHAnsi"/>
        </w:rPr>
        <w:t xml:space="preserve"> </w:t>
      </w:r>
      <w:r w:rsidRPr="00513E91">
        <w:rPr>
          <w:rFonts w:asciiTheme="minorHAnsi" w:hAnsiTheme="minorHAnsi" w:cstheme="minorHAnsi"/>
        </w:rPr>
        <w:t>de assistência social, de que trata esta lei, visto ser de conhecimento público, que a esmagadora</w:t>
      </w:r>
      <w:r>
        <w:rPr>
          <w:rFonts w:asciiTheme="minorHAnsi" w:hAnsiTheme="minorHAnsi" w:cstheme="minorHAnsi"/>
        </w:rPr>
        <w:t xml:space="preserve"> </w:t>
      </w:r>
      <w:r w:rsidRPr="00513E91">
        <w:rPr>
          <w:rFonts w:asciiTheme="minorHAnsi" w:hAnsiTheme="minorHAnsi" w:cstheme="minorHAnsi"/>
        </w:rPr>
        <w:t>maioria dos contratos de locação transferem ao locatário a obrigação pelo pagamento do tributo.</w:t>
      </w:r>
    </w:p>
    <w:p w14:paraId="7BEE0C31" w14:textId="6DEA4255" w:rsidR="00513E91" w:rsidRPr="00513E91" w:rsidRDefault="00513E91" w:rsidP="00513E91">
      <w:pPr>
        <w:pStyle w:val="Default"/>
        <w:spacing w:after="240"/>
        <w:rPr>
          <w:rFonts w:asciiTheme="minorHAnsi" w:hAnsiTheme="minorHAnsi" w:cstheme="minorHAnsi"/>
        </w:rPr>
      </w:pPr>
      <w:r w:rsidRPr="00513E91">
        <w:rPr>
          <w:rFonts w:asciiTheme="minorHAnsi" w:hAnsiTheme="minorHAnsi" w:cstheme="minorHAnsi"/>
        </w:rPr>
        <w:t>No que tange às exigências da Lei de Responsabilidade Fiscal, especialmente as previstas</w:t>
      </w:r>
      <w:r>
        <w:rPr>
          <w:rFonts w:asciiTheme="minorHAnsi" w:hAnsiTheme="minorHAnsi" w:cstheme="minorHAnsi"/>
        </w:rPr>
        <w:t xml:space="preserve"> </w:t>
      </w:r>
      <w:r w:rsidRPr="00513E91">
        <w:rPr>
          <w:rFonts w:asciiTheme="minorHAnsi" w:hAnsiTheme="minorHAnsi" w:cstheme="minorHAnsi"/>
        </w:rPr>
        <w:t>no art.14, entendemos que a presente proposição não se enquadra como "concessão ou ampliação</w:t>
      </w:r>
      <w:r>
        <w:rPr>
          <w:rFonts w:asciiTheme="minorHAnsi" w:hAnsiTheme="minorHAnsi" w:cstheme="minorHAnsi"/>
        </w:rPr>
        <w:t xml:space="preserve"> </w:t>
      </w:r>
      <w:r w:rsidRPr="00513E91">
        <w:rPr>
          <w:rFonts w:asciiTheme="minorHAnsi" w:hAnsiTheme="minorHAnsi" w:cstheme="minorHAnsi"/>
        </w:rPr>
        <w:t>de incentivo ou benefício de natureza tributária da qual decorra renúncia de receita", isso por que, nos</w:t>
      </w:r>
      <w:r>
        <w:rPr>
          <w:rFonts w:asciiTheme="minorHAnsi" w:hAnsiTheme="minorHAnsi" w:cstheme="minorHAnsi"/>
        </w:rPr>
        <w:t xml:space="preserve"> </w:t>
      </w:r>
      <w:r w:rsidRPr="00513E91">
        <w:rPr>
          <w:rFonts w:asciiTheme="minorHAnsi" w:hAnsiTheme="minorHAnsi" w:cstheme="minorHAnsi"/>
        </w:rPr>
        <w:t xml:space="preserve">termos do art.150, </w:t>
      </w:r>
      <w:proofErr w:type="spellStart"/>
      <w:r w:rsidRPr="00513E91">
        <w:rPr>
          <w:rFonts w:asciiTheme="minorHAnsi" w:hAnsiTheme="minorHAnsi" w:cstheme="minorHAnsi"/>
        </w:rPr>
        <w:t>III,"c</w:t>
      </w:r>
      <w:proofErr w:type="spellEnd"/>
      <w:r w:rsidRPr="00513E91">
        <w:rPr>
          <w:rFonts w:asciiTheme="minorHAnsi" w:hAnsiTheme="minorHAnsi" w:cstheme="minorHAnsi"/>
        </w:rPr>
        <w:t>" da CF o Estado não pode tributar o patrimônio, renda ou serviços dos</w:t>
      </w:r>
      <w:r w:rsidR="00142CCE">
        <w:rPr>
          <w:rFonts w:asciiTheme="minorHAnsi" w:hAnsiTheme="minorHAnsi" w:cstheme="minorHAnsi"/>
        </w:rPr>
        <w:t xml:space="preserve"> </w:t>
      </w:r>
      <w:r w:rsidRPr="00513E91">
        <w:rPr>
          <w:rFonts w:asciiTheme="minorHAnsi" w:hAnsiTheme="minorHAnsi" w:cstheme="minorHAnsi"/>
        </w:rPr>
        <w:t>partidos políticos, inclusive suas fundações, das entidades sindicais dos trabalhadores, das</w:t>
      </w:r>
      <w:r w:rsidR="00142CCE">
        <w:rPr>
          <w:rFonts w:asciiTheme="minorHAnsi" w:hAnsiTheme="minorHAnsi" w:cstheme="minorHAnsi"/>
        </w:rPr>
        <w:t xml:space="preserve"> </w:t>
      </w:r>
      <w:r w:rsidRPr="00513E91">
        <w:rPr>
          <w:rFonts w:asciiTheme="minorHAnsi" w:hAnsiTheme="minorHAnsi" w:cstheme="minorHAnsi"/>
        </w:rPr>
        <w:t>instituições de educação e de assistência social, sem fins lucrativos, atendidos os requisitos da lei.</w:t>
      </w:r>
    </w:p>
    <w:p w14:paraId="373B28B7" w14:textId="79BB876E" w:rsidR="00513E91" w:rsidRPr="00513E91" w:rsidRDefault="00513E91" w:rsidP="00513E91">
      <w:pPr>
        <w:pStyle w:val="Default"/>
        <w:spacing w:after="240"/>
        <w:rPr>
          <w:rFonts w:asciiTheme="minorHAnsi" w:hAnsiTheme="minorHAnsi" w:cstheme="minorHAnsi"/>
        </w:rPr>
      </w:pPr>
      <w:r w:rsidRPr="00513E91">
        <w:rPr>
          <w:rFonts w:asciiTheme="minorHAnsi" w:hAnsiTheme="minorHAnsi" w:cstheme="minorHAnsi"/>
        </w:rPr>
        <w:t>Dessa forma, entendemos que a cobrança do IPTU sobre os imóveis alugados pelas</w:t>
      </w:r>
      <w:r w:rsidR="00142CCE">
        <w:rPr>
          <w:rFonts w:asciiTheme="minorHAnsi" w:hAnsiTheme="minorHAnsi" w:cstheme="minorHAnsi"/>
        </w:rPr>
        <w:t xml:space="preserve"> </w:t>
      </w:r>
      <w:r w:rsidRPr="00513E91">
        <w:rPr>
          <w:rFonts w:asciiTheme="minorHAnsi" w:hAnsiTheme="minorHAnsi" w:cstheme="minorHAnsi"/>
        </w:rPr>
        <w:t>instituições de assistência social ilegal, pois atinge o patrimônio e a renda dessas instituições. Sendo</w:t>
      </w:r>
      <w:r w:rsidR="00142CCE">
        <w:rPr>
          <w:rFonts w:asciiTheme="minorHAnsi" w:hAnsiTheme="minorHAnsi" w:cstheme="minorHAnsi"/>
        </w:rPr>
        <w:t xml:space="preserve"> </w:t>
      </w:r>
      <w:r w:rsidRPr="00513E91">
        <w:rPr>
          <w:rFonts w:asciiTheme="minorHAnsi" w:hAnsiTheme="minorHAnsi" w:cstheme="minorHAnsi"/>
        </w:rPr>
        <w:t>assim, não poderia haver renúncia sobre uma receita indevida</w:t>
      </w:r>
      <w:r w:rsidR="00FB5142">
        <w:rPr>
          <w:rFonts w:asciiTheme="minorHAnsi" w:hAnsiTheme="minorHAnsi" w:cstheme="minorHAnsi"/>
        </w:rPr>
        <w:t>, sendo, portanto, dispensável a necessidade de impacto financeiro.</w:t>
      </w:r>
    </w:p>
    <w:sectPr w:rsidR="00513E91" w:rsidRPr="00513E91" w:rsidSect="00642E0E">
      <w:headerReference w:type="default" r:id="rId8"/>
      <w:footerReference w:type="default" r:id="rId9"/>
      <w:pgSz w:w="11906" w:h="16838"/>
      <w:pgMar w:top="1418" w:right="567" w:bottom="1418" w:left="1134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F5E90" w14:textId="77777777" w:rsidR="006803A2" w:rsidRDefault="006803A2">
      <w:r>
        <w:separator/>
      </w:r>
    </w:p>
  </w:endnote>
  <w:endnote w:type="continuationSeparator" w:id="0">
    <w:p w14:paraId="1964770A" w14:textId="77777777" w:rsidR="006803A2" w:rsidRDefault="00680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9A1DD" w14:textId="77777777" w:rsidR="004C5A51" w:rsidRDefault="007E0BF4">
    <w:pPr>
      <w:pStyle w:val="Rodap"/>
      <w:ind w:right="360"/>
      <w:jc w:val="center"/>
      <w:rPr>
        <w:rFonts w:ascii="Arial" w:hAnsi="Arial" w:cs="Arial"/>
        <w:color w:val="808080"/>
        <w:sz w:val="16"/>
        <w:szCs w:val="16"/>
      </w:rPr>
    </w:pPr>
    <w:r>
      <w:rPr>
        <w:noProof/>
      </w:rPr>
      <w:drawing>
        <wp:anchor distT="0" distB="0" distL="133350" distR="114300" simplePos="0" relativeHeight="251660288" behindDoc="0" locked="0" layoutInCell="1" allowOverlap="1" wp14:anchorId="4032F791" wp14:editId="0E7308E7">
          <wp:simplePos x="0" y="0"/>
          <wp:positionH relativeFrom="page">
            <wp:align>center</wp:align>
          </wp:positionH>
          <wp:positionV relativeFrom="page">
            <wp:posOffset>10182225</wp:posOffset>
          </wp:positionV>
          <wp:extent cx="230400" cy="205200"/>
          <wp:effectExtent l="0" t="0" r="0" b="0"/>
          <wp:wrapTight wrapText="bothSides">
            <wp:wrapPolygon edited="0">
              <wp:start x="0" y="0"/>
              <wp:lineTo x="0" y="20062"/>
              <wp:lineTo x="19691" y="20062"/>
              <wp:lineTo x="19691" y="0"/>
              <wp:lineTo x="0" y="0"/>
            </wp:wrapPolygon>
          </wp:wrapTight>
          <wp:docPr id="26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400" cy="20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color w:val="808080"/>
        <w:sz w:val="16"/>
        <w:szCs w:val="16"/>
      </w:rPr>
      <w:t>Papel reciclado, menor custo ambiental - Lei Municipal nº 1.416/2009</w:t>
    </w:r>
  </w:p>
  <w:p w14:paraId="35D38130" w14:textId="32223312" w:rsidR="004C5A51" w:rsidRDefault="004C5A51" w:rsidP="001F483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8FE63" w14:textId="77777777" w:rsidR="006803A2" w:rsidRDefault="006803A2">
      <w:r>
        <w:separator/>
      </w:r>
    </w:p>
  </w:footnote>
  <w:footnote w:type="continuationSeparator" w:id="0">
    <w:p w14:paraId="3B873F5D" w14:textId="77777777" w:rsidR="006803A2" w:rsidRDefault="006803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8A0E1" w14:textId="326E2BA1" w:rsidR="004C5A51" w:rsidRDefault="007E0BF4">
    <w:pPr>
      <w:pStyle w:val="Cabealho"/>
      <w:ind w:left="1560"/>
      <w:rPr>
        <w:sz w:val="32"/>
        <w:szCs w:val="32"/>
      </w:rPr>
    </w:pPr>
    <w:r>
      <w:rPr>
        <w:noProof/>
        <w:sz w:val="32"/>
        <w:szCs w:val="32"/>
        <w:lang w:eastAsia="pt-BR"/>
      </w:rPr>
      <w:drawing>
        <wp:anchor distT="0" distB="0" distL="133350" distR="123190" simplePos="0" relativeHeight="251657216" behindDoc="1" locked="0" layoutInCell="1" allowOverlap="1" wp14:anchorId="332DF5DF" wp14:editId="053E403C">
          <wp:simplePos x="0" y="0"/>
          <wp:positionH relativeFrom="column">
            <wp:posOffset>15240</wp:posOffset>
          </wp:positionH>
          <wp:positionV relativeFrom="paragraph">
            <wp:posOffset>36195</wp:posOffset>
          </wp:positionV>
          <wp:extent cx="905510" cy="1257300"/>
          <wp:effectExtent l="0" t="0" r="0" b="0"/>
          <wp:wrapNone/>
          <wp:docPr id="25" name="Imagem 25" descr="C:\Users\Usuario\Pictures\oie_transparent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:\Users\Usuario\Pictures\oie_transparent (1)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05510" cy="1257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1D0C06A" w14:textId="77777777" w:rsidR="004C5A51" w:rsidRDefault="004C5A51">
    <w:pPr>
      <w:pStyle w:val="Cabealho"/>
      <w:ind w:left="1560"/>
      <w:rPr>
        <w:sz w:val="32"/>
        <w:szCs w:val="32"/>
      </w:rPr>
    </w:pPr>
  </w:p>
  <w:p w14:paraId="607272E7" w14:textId="77777777" w:rsidR="004C5A51" w:rsidRDefault="007E0BF4">
    <w:pPr>
      <w:pStyle w:val="Cabealho"/>
      <w:ind w:left="1560"/>
      <w:rPr>
        <w:sz w:val="32"/>
        <w:szCs w:val="32"/>
      </w:rPr>
    </w:pPr>
    <w:r>
      <w:rPr>
        <w:sz w:val="32"/>
        <w:szCs w:val="32"/>
      </w:rPr>
      <w:t>Câmara Municipal de Bicas</w:t>
    </w:r>
  </w:p>
  <w:p w14:paraId="21AF044D" w14:textId="77777777" w:rsidR="004C5A51" w:rsidRDefault="007E0BF4">
    <w:pPr>
      <w:pStyle w:val="Cabealho"/>
      <w:ind w:left="1560"/>
      <w:rPr>
        <w:sz w:val="24"/>
        <w:szCs w:val="24"/>
      </w:rPr>
    </w:pPr>
    <w:r>
      <w:rPr>
        <w:sz w:val="24"/>
        <w:szCs w:val="24"/>
      </w:rPr>
      <w:t>Secretaria Legislativa</w:t>
    </w:r>
  </w:p>
  <w:p w14:paraId="5244C587" w14:textId="1F29A8FC" w:rsidR="004C5A51" w:rsidRDefault="00642E0E">
    <w:pPr>
      <w:pStyle w:val="Cabealho"/>
      <w:ind w:left="1560"/>
      <w:rPr>
        <w:sz w:val="24"/>
        <w:szCs w:val="24"/>
      </w:rPr>
    </w:pPr>
    <w:r>
      <w:rPr>
        <w:sz w:val="24"/>
        <w:szCs w:val="24"/>
      </w:rPr>
      <w:t>PL</w:t>
    </w:r>
    <w:r w:rsidR="00AE605E">
      <w:rPr>
        <w:sz w:val="24"/>
        <w:szCs w:val="24"/>
      </w:rPr>
      <w:t>C</w:t>
    </w:r>
    <w:r w:rsidR="0080765A">
      <w:rPr>
        <w:sz w:val="24"/>
        <w:szCs w:val="24"/>
      </w:rPr>
      <w:t xml:space="preserve"> </w:t>
    </w:r>
    <w:r w:rsidR="00AE605E">
      <w:rPr>
        <w:sz w:val="24"/>
        <w:szCs w:val="24"/>
      </w:rPr>
      <w:t>1</w:t>
    </w:r>
    <w:r>
      <w:rPr>
        <w:sz w:val="24"/>
        <w:szCs w:val="24"/>
      </w:rPr>
      <w:t>/202</w:t>
    </w:r>
    <w:r w:rsidR="0080765A">
      <w:rPr>
        <w:sz w:val="24"/>
        <w:szCs w:val="24"/>
      </w:rPr>
      <w:t>3</w:t>
    </w:r>
  </w:p>
  <w:p w14:paraId="468EF9F4" w14:textId="77777777" w:rsidR="001F4832" w:rsidRDefault="001F4832">
    <w:pPr>
      <w:pStyle w:val="Cabealho"/>
      <w:ind w:left="156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815E05"/>
    <w:multiLevelType w:val="multilevel"/>
    <w:tmpl w:val="90D01372"/>
    <w:lvl w:ilvl="0">
      <w:start w:val="1"/>
      <w:numFmt w:val="decimal"/>
      <w:lvlText w:val="Art. %1"/>
      <w:lvlJc w:val="left"/>
      <w:pPr>
        <w:ind w:left="720" w:hanging="360"/>
      </w:pPr>
      <w:rPr>
        <w:b w:val="0"/>
        <w:i w:val="0"/>
        <w:sz w:val="24"/>
      </w:rPr>
    </w:lvl>
    <w:lvl w:ilvl="1">
      <w:start w:val="1"/>
      <w:numFmt w:val="none"/>
      <w:suff w:val="nothing"/>
      <w:lvlText w:val="arágrafo Único:"/>
      <w:lvlJc w:val="left"/>
      <w:pPr>
        <w:ind w:left="1440" w:hanging="360"/>
      </w:pPr>
      <w:rPr>
        <w:b w:val="0"/>
        <w:i w:val="0"/>
        <w:sz w:val="24"/>
      </w:rPr>
    </w:lvl>
    <w:lvl w:ilvl="2">
      <w:start w:val="1"/>
      <w:numFmt w:val="decimal"/>
      <w:lvlText w:val="§%3"/>
      <w:lvlJc w:val="left"/>
      <w:pPr>
        <w:ind w:left="1440" w:hanging="363"/>
      </w:pPr>
    </w:lvl>
    <w:lvl w:ilvl="3">
      <w:start w:val="1"/>
      <w:numFmt w:val="upperRoman"/>
      <w:lvlText w:val="%4"/>
      <w:lvlJc w:val="left"/>
      <w:pPr>
        <w:ind w:left="2880" w:hanging="360"/>
      </w:pPr>
    </w:lvl>
    <w:lvl w:ilvl="4">
      <w:start w:val="1"/>
      <w:numFmt w:val="lowerLetter"/>
      <w:lvlText w:val="%5)"/>
      <w:lvlJc w:val="left"/>
      <w:pPr>
        <w:ind w:left="3600" w:hanging="360"/>
      </w:pPr>
    </w:lvl>
    <w:lvl w:ilvl="5">
      <w:start w:val="1"/>
      <w:numFmt w:val="decimal"/>
      <w:lvlText w:val="%6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2D43B2A"/>
    <w:multiLevelType w:val="multilevel"/>
    <w:tmpl w:val="D3ECC2E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53CA3350"/>
    <w:multiLevelType w:val="multilevel"/>
    <w:tmpl w:val="90D01372"/>
    <w:lvl w:ilvl="0">
      <w:start w:val="1"/>
      <w:numFmt w:val="decimal"/>
      <w:lvlText w:val="Art. %1"/>
      <w:lvlJc w:val="left"/>
      <w:pPr>
        <w:ind w:left="720" w:hanging="360"/>
      </w:pPr>
      <w:rPr>
        <w:b w:val="0"/>
        <w:i w:val="0"/>
        <w:sz w:val="24"/>
      </w:rPr>
    </w:lvl>
    <w:lvl w:ilvl="1">
      <w:start w:val="1"/>
      <w:numFmt w:val="none"/>
      <w:suff w:val="nothing"/>
      <w:lvlText w:val="arágrafo Único:"/>
      <w:lvlJc w:val="left"/>
      <w:pPr>
        <w:ind w:left="1440" w:hanging="360"/>
      </w:pPr>
      <w:rPr>
        <w:b w:val="0"/>
        <w:i w:val="0"/>
        <w:sz w:val="24"/>
      </w:rPr>
    </w:lvl>
    <w:lvl w:ilvl="2">
      <w:start w:val="1"/>
      <w:numFmt w:val="decimal"/>
      <w:lvlText w:val="§%3"/>
      <w:lvlJc w:val="left"/>
      <w:pPr>
        <w:ind w:left="1440" w:hanging="363"/>
      </w:pPr>
    </w:lvl>
    <w:lvl w:ilvl="3">
      <w:start w:val="1"/>
      <w:numFmt w:val="upperRoman"/>
      <w:lvlText w:val="%4"/>
      <w:lvlJc w:val="left"/>
      <w:pPr>
        <w:ind w:left="2880" w:hanging="360"/>
      </w:pPr>
    </w:lvl>
    <w:lvl w:ilvl="4">
      <w:start w:val="1"/>
      <w:numFmt w:val="lowerLetter"/>
      <w:lvlText w:val="%5)"/>
      <w:lvlJc w:val="left"/>
      <w:pPr>
        <w:ind w:left="3600" w:hanging="360"/>
      </w:pPr>
    </w:lvl>
    <w:lvl w:ilvl="5">
      <w:start w:val="1"/>
      <w:numFmt w:val="decimal"/>
      <w:lvlText w:val="%6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874296355">
    <w:abstractNumId w:val="2"/>
  </w:num>
  <w:num w:numId="2" w16cid:durableId="907962562">
    <w:abstractNumId w:val="1"/>
  </w:num>
  <w:num w:numId="3" w16cid:durableId="1169295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5A51"/>
    <w:rsid w:val="00046E51"/>
    <w:rsid w:val="0007556E"/>
    <w:rsid w:val="000E7768"/>
    <w:rsid w:val="00104133"/>
    <w:rsid w:val="00142CCE"/>
    <w:rsid w:val="001E3B45"/>
    <w:rsid w:val="001F4832"/>
    <w:rsid w:val="002167FD"/>
    <w:rsid w:val="002220C7"/>
    <w:rsid w:val="002909BD"/>
    <w:rsid w:val="002C56C3"/>
    <w:rsid w:val="002C7F07"/>
    <w:rsid w:val="0032681F"/>
    <w:rsid w:val="003A3465"/>
    <w:rsid w:val="003C7374"/>
    <w:rsid w:val="004C5A51"/>
    <w:rsid w:val="00513E91"/>
    <w:rsid w:val="00553364"/>
    <w:rsid w:val="00597AAC"/>
    <w:rsid w:val="005B20BF"/>
    <w:rsid w:val="005F6998"/>
    <w:rsid w:val="00642E0E"/>
    <w:rsid w:val="006803A2"/>
    <w:rsid w:val="006A4821"/>
    <w:rsid w:val="006A7504"/>
    <w:rsid w:val="006E11D7"/>
    <w:rsid w:val="007346C4"/>
    <w:rsid w:val="0076435E"/>
    <w:rsid w:val="007E0BF4"/>
    <w:rsid w:val="0080765A"/>
    <w:rsid w:val="00946E40"/>
    <w:rsid w:val="00A22323"/>
    <w:rsid w:val="00A425F4"/>
    <w:rsid w:val="00AE605E"/>
    <w:rsid w:val="00B36B7E"/>
    <w:rsid w:val="00B44AE4"/>
    <w:rsid w:val="00BF0A62"/>
    <w:rsid w:val="00C7628D"/>
    <w:rsid w:val="00ED2F5C"/>
    <w:rsid w:val="00F343B2"/>
    <w:rsid w:val="00F85AF5"/>
    <w:rsid w:val="00F91AEB"/>
    <w:rsid w:val="00FB34E0"/>
    <w:rsid w:val="00FB5142"/>
    <w:rsid w:val="00FE7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6F314"/>
  <w15:docId w15:val="{E53660DE-1A03-445D-AED2-08389A676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3703"/>
    <w:rPr>
      <w:rFonts w:ascii="Times New Roman" w:eastAsia="Times New Roman" w:hAnsi="Times New Roman" w:cs="Times New Roman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7084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B70841"/>
    <w:pPr>
      <w:keepNext/>
      <w:jc w:val="center"/>
      <w:outlineLvl w:val="4"/>
    </w:pPr>
    <w:rPr>
      <w:b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A1C6C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qFormat/>
    <w:rsid w:val="009A1C6C"/>
  </w:style>
  <w:style w:type="character" w:customStyle="1" w:styleId="RodapChar">
    <w:name w:val="Rodapé Char"/>
    <w:basedOn w:val="Fontepargpadro"/>
    <w:link w:val="Rodap"/>
    <w:qFormat/>
    <w:rsid w:val="009A1C6C"/>
  </w:style>
  <w:style w:type="character" w:customStyle="1" w:styleId="LinkdaInternet">
    <w:name w:val="Link da Internet"/>
    <w:basedOn w:val="Fontepargpadro"/>
    <w:uiPriority w:val="99"/>
    <w:unhideWhenUsed/>
    <w:rsid w:val="00AE3703"/>
    <w:rPr>
      <w:color w:val="0000FF" w:themeColor="hyperlink"/>
      <w:u w:val="single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15272D"/>
    <w:rPr>
      <w:rFonts w:ascii="Arial" w:eastAsia="Times New Roman" w:hAnsi="Arial" w:cs="Arial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B70841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qFormat/>
    <w:rsid w:val="00B70841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styleId="Forte">
    <w:name w:val="Strong"/>
    <w:basedOn w:val="Fontepargpadro"/>
    <w:qFormat/>
    <w:rsid w:val="009978E9"/>
    <w:rPr>
      <w:b/>
      <w:bCs/>
    </w:rPr>
  </w:style>
  <w:style w:type="character" w:customStyle="1" w:styleId="SubttuloChar">
    <w:name w:val="Subtítulo Char"/>
    <w:basedOn w:val="Fontepargpadro"/>
    <w:link w:val="Subttulo"/>
    <w:qFormat/>
    <w:rsid w:val="009978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qFormat/>
    <w:rsid w:val="0095202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b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b/>
      <w:i w:val="0"/>
    </w:rPr>
  </w:style>
  <w:style w:type="character" w:customStyle="1" w:styleId="ListLabel11">
    <w:name w:val="ListLabel 11"/>
    <w:qFormat/>
    <w:rPr>
      <w:b/>
      <w:i w:val="0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b w:val="0"/>
      <w:i w:val="0"/>
      <w:sz w:val="24"/>
    </w:rPr>
  </w:style>
  <w:style w:type="character" w:customStyle="1" w:styleId="ListLabel14">
    <w:name w:val="ListLabel 14"/>
    <w:qFormat/>
    <w:rPr>
      <w:b w:val="0"/>
      <w:i w:val="0"/>
      <w:sz w:val="24"/>
    </w:rPr>
  </w:style>
  <w:style w:type="character" w:customStyle="1" w:styleId="ListLabel15">
    <w:name w:val="ListLabel 15"/>
    <w:qFormat/>
    <w:rPr>
      <w:rFonts w:cs="Courier New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semiHidden/>
    <w:rsid w:val="0015272D"/>
    <w:pPr>
      <w:jc w:val="both"/>
    </w:pPr>
    <w:rPr>
      <w:rFonts w:ascii="Arial" w:hAnsi="Arial" w:cs="Arial"/>
      <w:sz w:val="24"/>
    </w:r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A1C6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9A1C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nhideWhenUsed/>
    <w:rsid w:val="009A1C6C"/>
    <w:pPr>
      <w:tabs>
        <w:tab w:val="center" w:pos="4252"/>
        <w:tab w:val="right" w:pos="8504"/>
      </w:tabs>
    </w:pPr>
  </w:style>
  <w:style w:type="paragraph" w:styleId="NormalWeb">
    <w:name w:val="Normal (Web)"/>
    <w:uiPriority w:val="99"/>
    <w:qFormat/>
    <w:rsid w:val="00EB2292"/>
    <w:pPr>
      <w:spacing w:after="324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val="pt-PT" w:eastAsia="pt-BR"/>
    </w:rPr>
  </w:style>
  <w:style w:type="paragraph" w:styleId="Subttulo">
    <w:name w:val="Subtitle"/>
    <w:basedOn w:val="Normal"/>
    <w:next w:val="Normal"/>
    <w:link w:val="SubttuloChar"/>
    <w:qFormat/>
    <w:rsid w:val="009978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emEspaamento">
    <w:name w:val="No Spacing"/>
    <w:uiPriority w:val="1"/>
    <w:qFormat/>
    <w:rsid w:val="00A916F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nhideWhenUsed/>
    <w:qFormat/>
    <w:rsid w:val="00952027"/>
    <w:pPr>
      <w:spacing w:after="120" w:line="480" w:lineRule="auto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F9147A"/>
    <w:pPr>
      <w:ind w:left="720"/>
      <w:contextualSpacing/>
    </w:pPr>
  </w:style>
  <w:style w:type="numbering" w:customStyle="1" w:styleId="ProjLei">
    <w:name w:val="Proj. Lei"/>
    <w:uiPriority w:val="99"/>
    <w:qFormat/>
    <w:rsid w:val="00F9147A"/>
  </w:style>
  <w:style w:type="table" w:styleId="Tabelacomgrade">
    <w:name w:val="Table Grid"/>
    <w:basedOn w:val="Tabelanormal"/>
    <w:uiPriority w:val="59"/>
    <w:rsid w:val="007626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346C4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42E0E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91AEB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6A750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3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A8DF2E-201B-421E-91B6-5E36ABCB8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919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Timbre da Câmara</vt:lpstr>
    </vt:vector>
  </TitlesOfParts>
  <Company/>
  <LinksUpToDate>false</LinksUpToDate>
  <CharactersWithSpaces>5876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Timbre da Câmara</dc:title>
  <dc:subject/>
  <dc:creator>Usuario</dc:creator>
  <dc:description/>
  <cp:lastModifiedBy>Guilherme</cp:lastModifiedBy>
  <cp:revision>6</cp:revision>
  <cp:lastPrinted>2023-03-06T20:50:00Z</cp:lastPrinted>
  <dcterms:created xsi:type="dcterms:W3CDTF">2023-03-03T18:16:00Z</dcterms:created>
  <dcterms:modified xsi:type="dcterms:W3CDTF">2023-03-06T20:51:00Z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