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4A0072">
        <w:rPr>
          <w:rFonts w:ascii="Times New Roman" w:hAnsi="Times New Roman" w:cs="Times New Roman"/>
          <w:b/>
          <w:sz w:val="24"/>
          <w:szCs w:val="24"/>
        </w:rPr>
        <w:t>62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15 DE </w:t>
      </w:r>
      <w:proofErr w:type="gramStart"/>
      <w:r w:rsidR="003D0A2B" w:rsidRPr="003D0A2B">
        <w:rPr>
          <w:rFonts w:ascii="Times New Roman" w:hAnsi="Times New Roman" w:cs="Times New Roman"/>
          <w:b/>
          <w:sz w:val="24"/>
          <w:szCs w:val="24"/>
        </w:rPr>
        <w:t>AGOSTO</w:t>
      </w:r>
      <w:proofErr w:type="gramEnd"/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10642A" w:rsidRDefault="004A0072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>Dispõe sobre vencimentos de professoras rurais e dá outras providencias.</w:t>
      </w:r>
    </w:p>
    <w:p w:rsidR="004A0072" w:rsidRDefault="004A0072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2220E" w:rsidRPr="00DE59C6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90E2C" w:rsidRPr="00690E2C" w:rsidRDefault="00690E2C" w:rsidP="00690E2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4A0072">
        <w:rPr>
          <w:rFonts w:ascii="Times New Roman" w:hAnsi="Times New Roman" w:cs="Times New Roman"/>
          <w:sz w:val="24"/>
          <w:szCs w:val="24"/>
        </w:rPr>
        <w:t xml:space="preserve">- De conformidade com o </w:t>
      </w:r>
      <w:r w:rsidRPr="004A0072">
        <w:rPr>
          <w:rFonts w:ascii="Times New Roman" w:hAnsi="Times New Roman" w:cs="Times New Roman"/>
          <w:sz w:val="24"/>
          <w:szCs w:val="24"/>
        </w:rPr>
        <w:t>disposto</w:t>
      </w:r>
      <w:r w:rsidRPr="004A0072">
        <w:rPr>
          <w:rFonts w:ascii="Times New Roman" w:hAnsi="Times New Roman" w:cs="Times New Roman"/>
          <w:sz w:val="24"/>
          <w:szCs w:val="24"/>
        </w:rPr>
        <w:t xml:space="preserve"> no art. 2° do Decreto Federal n°66259 de 25/02/70, combinado com o decreto Federal n° 66254, fica o Governo do </w:t>
      </w:r>
      <w:r w:rsidRPr="004A0072">
        <w:rPr>
          <w:rFonts w:ascii="Times New Roman" w:hAnsi="Times New Roman" w:cs="Times New Roman"/>
          <w:sz w:val="24"/>
          <w:szCs w:val="24"/>
        </w:rPr>
        <w:t>Município</w:t>
      </w:r>
      <w:r w:rsidRPr="004A0072">
        <w:rPr>
          <w:rFonts w:ascii="Times New Roman" w:hAnsi="Times New Roman" w:cs="Times New Roman"/>
          <w:sz w:val="24"/>
          <w:szCs w:val="24"/>
        </w:rPr>
        <w:t xml:space="preserve"> autorizado a observar as seguintes diretrizes para remuneração das professoras rurais do quadro pessoal desta Prefeitura.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Pr="004A0072">
        <w:rPr>
          <w:rFonts w:ascii="Times New Roman" w:hAnsi="Times New Roman" w:cs="Times New Roman"/>
          <w:sz w:val="24"/>
          <w:szCs w:val="24"/>
        </w:rPr>
        <w:t>- Limite mínimo de um salário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 w:rsidRPr="004A0072">
        <w:rPr>
          <w:rFonts w:ascii="Times New Roman" w:hAnsi="Times New Roman" w:cs="Times New Roman"/>
          <w:sz w:val="24"/>
          <w:szCs w:val="24"/>
        </w:rPr>
        <w:t>ínimo regional mensal, para o regime de 2,5 (vinte e duas e meias) horas de trabalho semanais quando se trata do professor primário com curso de formação regular.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II - </w:t>
      </w:r>
      <w:r w:rsidRPr="004A0072">
        <w:rPr>
          <w:rFonts w:ascii="Times New Roman" w:hAnsi="Times New Roman" w:cs="Times New Roman"/>
          <w:sz w:val="24"/>
          <w:szCs w:val="24"/>
        </w:rPr>
        <w:t>Limite</w:t>
      </w:r>
      <w:r w:rsidRPr="004A0072">
        <w:rPr>
          <w:rFonts w:ascii="Times New Roman" w:hAnsi="Times New Roman" w:cs="Times New Roman"/>
          <w:sz w:val="24"/>
          <w:szCs w:val="24"/>
        </w:rPr>
        <w:t xml:space="preserve"> mínimo de 60% (sessenta por cento) do </w:t>
      </w:r>
      <w:r w:rsidRPr="004A0072">
        <w:rPr>
          <w:rFonts w:ascii="Times New Roman" w:hAnsi="Times New Roman" w:cs="Times New Roman"/>
          <w:sz w:val="24"/>
          <w:szCs w:val="24"/>
        </w:rPr>
        <w:t>salário</w:t>
      </w:r>
      <w:r w:rsidRPr="004A0072">
        <w:rPr>
          <w:rFonts w:ascii="Times New Roman" w:hAnsi="Times New Roman" w:cs="Times New Roman"/>
          <w:sz w:val="24"/>
          <w:szCs w:val="24"/>
        </w:rPr>
        <w:t xml:space="preserve"> </w:t>
      </w:r>
      <w:r w:rsidRPr="004A0072">
        <w:rPr>
          <w:rFonts w:ascii="Times New Roman" w:hAnsi="Times New Roman" w:cs="Times New Roman"/>
          <w:sz w:val="24"/>
          <w:szCs w:val="24"/>
        </w:rPr>
        <w:t>mínimo</w:t>
      </w:r>
      <w:r w:rsidRPr="004A0072">
        <w:rPr>
          <w:rFonts w:ascii="Times New Roman" w:hAnsi="Times New Roman" w:cs="Times New Roman"/>
          <w:sz w:val="24"/>
          <w:szCs w:val="24"/>
        </w:rPr>
        <w:t xml:space="preserve"> regional, para o regime de 22,5 (</w:t>
      </w:r>
      <w:r w:rsidRPr="004A0072">
        <w:rPr>
          <w:rFonts w:ascii="Times New Roman" w:hAnsi="Times New Roman" w:cs="Times New Roman"/>
          <w:sz w:val="24"/>
          <w:szCs w:val="24"/>
        </w:rPr>
        <w:t>vinte</w:t>
      </w:r>
      <w:r w:rsidRPr="004A0072">
        <w:rPr>
          <w:rFonts w:ascii="Times New Roman" w:hAnsi="Times New Roman" w:cs="Times New Roman"/>
          <w:sz w:val="24"/>
          <w:szCs w:val="24"/>
        </w:rPr>
        <w:t xml:space="preserve"> e duas e meio). </w:t>
      </w:r>
      <w:r w:rsidRPr="004A0072">
        <w:rPr>
          <w:rFonts w:ascii="Times New Roman" w:hAnsi="Times New Roman" w:cs="Times New Roman"/>
          <w:sz w:val="24"/>
          <w:szCs w:val="24"/>
        </w:rPr>
        <w:t>Horas</w:t>
      </w:r>
      <w:r w:rsidRPr="004A0072">
        <w:rPr>
          <w:rFonts w:ascii="Times New Roman" w:hAnsi="Times New Roman" w:cs="Times New Roman"/>
          <w:sz w:val="24"/>
          <w:szCs w:val="24"/>
        </w:rPr>
        <w:t xml:space="preserve"> semanais, quando se trata de professor primário sem urso de formação regular.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III </w:t>
      </w:r>
      <w:r w:rsidRPr="004A0072">
        <w:rPr>
          <w:rFonts w:ascii="Times New Roman" w:hAnsi="Times New Roman" w:cs="Times New Roman"/>
          <w:sz w:val="24"/>
          <w:szCs w:val="24"/>
        </w:rPr>
        <w:t xml:space="preserve">- Remuneração proporcional ao número efetivo de horas de trabalho semanais, nas bases previstas nos itens I e II deste artigo, quando esse número de horas de trabalho semanais for </w:t>
      </w:r>
      <w:r>
        <w:rPr>
          <w:rFonts w:ascii="Times New Roman" w:hAnsi="Times New Roman" w:cs="Times New Roman"/>
          <w:sz w:val="24"/>
          <w:szCs w:val="24"/>
        </w:rPr>
        <w:t xml:space="preserve">diverso do estabelecimento nos </w:t>
      </w:r>
      <w:r w:rsidRPr="004A0072">
        <w:rPr>
          <w:rFonts w:ascii="Times New Roman" w:hAnsi="Times New Roman" w:cs="Times New Roman"/>
          <w:sz w:val="24"/>
          <w:szCs w:val="24"/>
        </w:rPr>
        <w:t xml:space="preserve">mencionados itens.  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Art. 2° </w:t>
      </w:r>
      <w:r w:rsidRPr="004A0072">
        <w:rPr>
          <w:rFonts w:ascii="Times New Roman" w:hAnsi="Times New Roman" w:cs="Times New Roman"/>
          <w:sz w:val="24"/>
          <w:szCs w:val="24"/>
        </w:rPr>
        <w:t xml:space="preserve">- Os limites de que trata o artigo anterior poderão ser alterados </w:t>
      </w:r>
      <w:r w:rsidRPr="004A0072">
        <w:rPr>
          <w:rFonts w:ascii="Times New Roman" w:hAnsi="Times New Roman" w:cs="Times New Roman"/>
          <w:sz w:val="24"/>
          <w:szCs w:val="24"/>
        </w:rPr>
        <w:t>em</w:t>
      </w:r>
      <w:r w:rsidRPr="004A0072">
        <w:rPr>
          <w:rFonts w:ascii="Times New Roman" w:hAnsi="Times New Roman" w:cs="Times New Roman"/>
          <w:sz w:val="24"/>
          <w:szCs w:val="24"/>
        </w:rPr>
        <w:t xml:space="preserve"> conformidade com a </w:t>
      </w:r>
      <w:r w:rsidRPr="004A0072">
        <w:rPr>
          <w:rFonts w:ascii="Times New Roman" w:hAnsi="Times New Roman" w:cs="Times New Roman"/>
          <w:sz w:val="24"/>
          <w:szCs w:val="24"/>
        </w:rPr>
        <w:t>exigência</w:t>
      </w:r>
      <w:r w:rsidRPr="004A0072">
        <w:rPr>
          <w:rFonts w:ascii="Times New Roman" w:hAnsi="Times New Roman" w:cs="Times New Roman"/>
          <w:sz w:val="24"/>
          <w:szCs w:val="24"/>
        </w:rPr>
        <w:t xml:space="preserve"> da </w:t>
      </w:r>
      <w:r w:rsidRPr="004A0072">
        <w:rPr>
          <w:rFonts w:ascii="Times New Roman" w:hAnsi="Times New Roman" w:cs="Times New Roman"/>
          <w:sz w:val="24"/>
          <w:szCs w:val="24"/>
        </w:rPr>
        <w:t>legislação federal</w:t>
      </w:r>
      <w:r w:rsidRPr="004A0072">
        <w:rPr>
          <w:rFonts w:ascii="Times New Roman" w:hAnsi="Times New Roman" w:cs="Times New Roman"/>
          <w:sz w:val="24"/>
          <w:szCs w:val="24"/>
        </w:rPr>
        <w:t xml:space="preserve"> que dispuser futuramente, sobre condições </w:t>
      </w:r>
      <w:r w:rsidRPr="004A0072">
        <w:rPr>
          <w:rFonts w:ascii="Times New Roman" w:hAnsi="Times New Roman" w:cs="Times New Roman"/>
          <w:sz w:val="24"/>
          <w:szCs w:val="24"/>
        </w:rPr>
        <w:t>para</w:t>
      </w:r>
      <w:r w:rsidRPr="004A0072">
        <w:rPr>
          <w:rFonts w:ascii="Times New Roman" w:hAnsi="Times New Roman" w:cs="Times New Roman"/>
          <w:sz w:val="24"/>
          <w:szCs w:val="24"/>
        </w:rPr>
        <w:t xml:space="preserve"> utilização de parcelas do Fundo de participação do </w:t>
      </w:r>
      <w:r w:rsidRPr="004A0072">
        <w:rPr>
          <w:rFonts w:ascii="Times New Roman" w:hAnsi="Times New Roman" w:cs="Times New Roman"/>
          <w:sz w:val="24"/>
          <w:szCs w:val="24"/>
        </w:rPr>
        <w:t>município</w:t>
      </w:r>
      <w:r w:rsidRPr="004A0072">
        <w:rPr>
          <w:rFonts w:ascii="Times New Roman" w:hAnsi="Times New Roman" w:cs="Times New Roman"/>
          <w:sz w:val="24"/>
          <w:szCs w:val="24"/>
        </w:rPr>
        <w:t>.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 xml:space="preserve">Art. 3° - </w:t>
      </w:r>
      <w:r w:rsidRPr="004A0072">
        <w:rPr>
          <w:rFonts w:ascii="Times New Roman" w:hAnsi="Times New Roman" w:cs="Times New Roman"/>
          <w:sz w:val="24"/>
          <w:szCs w:val="24"/>
        </w:rPr>
        <w:t>Mediante decreto, poderá o Prefeito Municipal suplementar as consignações orçamentarias próprias para a execução desta Lei.</w:t>
      </w:r>
    </w:p>
    <w:p w:rsidR="004A0072" w:rsidRPr="004A0072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0642A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4A0072">
        <w:rPr>
          <w:rFonts w:ascii="Times New Roman" w:hAnsi="Times New Roman" w:cs="Times New Roman"/>
          <w:b/>
          <w:sz w:val="24"/>
          <w:szCs w:val="24"/>
        </w:rPr>
        <w:t>Art. 4° -</w:t>
      </w:r>
      <w:r>
        <w:rPr>
          <w:rFonts w:ascii="Times New Roman" w:hAnsi="Times New Roman" w:cs="Times New Roman"/>
          <w:sz w:val="24"/>
          <w:szCs w:val="24"/>
        </w:rPr>
        <w:t xml:space="preserve"> Esta </w:t>
      </w:r>
      <w:r w:rsidRPr="004A0072">
        <w:rPr>
          <w:rFonts w:ascii="Times New Roman" w:hAnsi="Times New Roman" w:cs="Times New Roman"/>
          <w:sz w:val="24"/>
          <w:szCs w:val="24"/>
        </w:rPr>
        <w:t>lei</w:t>
      </w:r>
      <w:r w:rsidRPr="004A0072">
        <w:rPr>
          <w:rFonts w:ascii="Times New Roman" w:hAnsi="Times New Roman" w:cs="Times New Roman"/>
          <w:sz w:val="24"/>
          <w:szCs w:val="24"/>
        </w:rPr>
        <w:t xml:space="preserve"> </w:t>
      </w:r>
      <w:r w:rsidRPr="004A0072">
        <w:rPr>
          <w:rFonts w:ascii="Times New Roman" w:hAnsi="Times New Roman" w:cs="Times New Roman"/>
          <w:sz w:val="24"/>
          <w:szCs w:val="24"/>
        </w:rPr>
        <w:t>entrará em</w:t>
      </w:r>
      <w:r w:rsidRPr="004A0072">
        <w:rPr>
          <w:rFonts w:ascii="Times New Roman" w:hAnsi="Times New Roman" w:cs="Times New Roman"/>
          <w:sz w:val="24"/>
          <w:szCs w:val="24"/>
        </w:rPr>
        <w:t xml:space="preserve"> vigor na data de sua publicação, revogadas as disposições em contrário</w:t>
      </w:r>
    </w:p>
    <w:p w:rsidR="004A0072" w:rsidRPr="0010642A" w:rsidRDefault="004A0072" w:rsidP="004A0072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2220E" w:rsidRPr="003D0A2B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0A2B">
        <w:rPr>
          <w:rFonts w:ascii="Times New Roman" w:hAnsi="Times New Roman" w:cs="Times New Roman"/>
          <w:sz w:val="24"/>
          <w:szCs w:val="24"/>
        </w:rPr>
        <w:t>Prefeitura Municipal de Formiga, 15 de agosto de 1972.</w:t>
      </w:r>
    </w:p>
    <w:p w:rsidR="003D0A2B" w:rsidRPr="00333E34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072" w:rsidRDefault="004A0072" w:rsidP="00AB4DF7">
      <w:pPr>
        <w:spacing w:after="0" w:line="240" w:lineRule="auto"/>
      </w:pPr>
      <w:r>
        <w:separator/>
      </w:r>
    </w:p>
  </w:endnote>
  <w:endnote w:type="continuationSeparator" w:id="0">
    <w:p w:rsidR="004A0072" w:rsidRDefault="004A0072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0009C46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072" w:rsidRDefault="004A0072" w:rsidP="00AB4DF7">
      <w:pPr>
        <w:spacing w:after="0" w:line="240" w:lineRule="auto"/>
      </w:pPr>
      <w:r>
        <w:separator/>
      </w:r>
    </w:p>
  </w:footnote>
  <w:footnote w:type="continuationSeparator" w:id="0">
    <w:p w:rsidR="004A0072" w:rsidRDefault="004A0072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D9F9B0-166D-4C14-B5D8-34D2C1EF9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277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2024-05-21T19:48:00Z</dcterms:created>
  <dcterms:modified xsi:type="dcterms:W3CDTF">2024-05-21T19:51:00Z</dcterms:modified>
</cp:coreProperties>
</file>