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media/image1.emf" ContentType="image/x-e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120"/>
        <w:ind w:left="284" w:right="283" w:hanging="0"/>
        <w:jc w:val="center"/>
        <w:rPr>
          <w:rFonts w:ascii="Times New Roman" w:hAnsi="Times New Roman"/>
          <w:b/>
          <w:b/>
        </w:rPr>
      </w:pPr>
      <w:r>
        <w:rPr/>
        <w:object>
          <v:shape id="ole_rId2" style="width:93pt;height:101pt" o:ole="">
            <v:imagedata r:id="rId3" o:title=""/>
          </v:shape>
          <o:OLEObject Type="Embed" ProgID="MSPhotoEd.3" ShapeID="ole_rId2" DrawAspect="Content" ObjectID="_1918793227" r:id="rId2"/>
        </w:object>
      </w:r>
    </w:p>
    <w:p>
      <w:pPr>
        <w:pStyle w:val="Normal"/>
        <w:spacing w:lineRule="auto" w:line="240" w:before="0" w:after="120"/>
        <w:ind w:left="284" w:right="283" w:hanging="0"/>
        <w:jc w:val="center"/>
        <w:rPr>
          <w:rFonts w:ascii="Times New Roman" w:hAnsi="Times New Roman"/>
          <w:b/>
          <w:b/>
        </w:rPr>
      </w:pPr>
      <w:r>
        <w:rPr>
          <w:rFonts w:ascii="Times New Roman" w:hAnsi="Times New Roman"/>
          <w:b/>
        </w:rPr>
        <w:t>PREFEITURA DE CATAGUASES</w:t>
      </w:r>
    </w:p>
    <w:p>
      <w:pPr>
        <w:pStyle w:val="Normal"/>
        <w:spacing w:lineRule="auto" w:line="240" w:before="0" w:after="120"/>
        <w:ind w:left="284" w:right="283" w:hanging="0"/>
        <w:jc w:val="center"/>
        <w:rPr>
          <w:rFonts w:ascii="Times New Roman" w:hAnsi="Times New Roman"/>
          <w:b/>
          <w:b/>
        </w:rPr>
      </w:pPr>
      <w:r>
        <w:rPr>
          <w:rFonts w:ascii="Times New Roman" w:hAnsi="Times New Roman"/>
          <w:b/>
        </w:rPr>
      </w:r>
    </w:p>
    <w:p>
      <w:pPr>
        <w:pStyle w:val="Normal"/>
        <w:spacing w:lineRule="auto" w:line="240" w:before="0" w:after="120"/>
        <w:ind w:left="284" w:right="283" w:hanging="0"/>
        <w:jc w:val="center"/>
        <w:rPr>
          <w:rFonts w:ascii="Times New Roman" w:hAnsi="Times New Roman"/>
          <w:b/>
          <w:b/>
        </w:rPr>
      </w:pPr>
      <w:r>
        <w:rPr>
          <w:rFonts w:ascii="Times New Roman" w:hAnsi="Times New Roman"/>
          <w:b/>
        </w:rPr>
        <w:t>LEI nº 5.181 de 05 de março de 2026</w:t>
      </w:r>
    </w:p>
    <w:p>
      <w:pPr>
        <w:pStyle w:val="Normal"/>
        <w:spacing w:lineRule="auto" w:line="240" w:before="0" w:after="120"/>
        <w:ind w:left="284" w:right="283" w:hanging="0"/>
        <w:jc w:val="center"/>
        <w:rPr>
          <w:rFonts w:ascii="Times New Roman" w:hAnsi="Times New Roman"/>
          <w:b/>
          <w:b/>
        </w:rPr>
      </w:pPr>
      <w:r>
        <w:rPr>
          <w:rFonts w:ascii="Times New Roman" w:hAnsi="Times New Roman"/>
          <w:b/>
        </w:rPr>
      </w:r>
    </w:p>
    <w:p>
      <w:pPr>
        <w:pStyle w:val="Normal"/>
        <w:ind w:left="2552" w:hanging="0"/>
        <w:jc w:val="both"/>
        <w:rPr>
          <w:rFonts w:ascii="Times New Roman" w:hAnsi="Times New Roman"/>
        </w:rPr>
      </w:pPr>
      <w:r>
        <w:rPr>
          <w:rFonts w:ascii="Times New Roman" w:hAnsi="Times New Roman"/>
        </w:rPr>
        <w:t xml:space="preserve"> </w:t>
      </w:r>
      <w:r>
        <w:rPr>
          <w:rFonts w:ascii="Times New Roman" w:hAnsi="Times New Roman"/>
        </w:rPr>
        <w:t xml:space="preserve">AUTORIZA O PODER EXECUTIVO A CONCEDER  CESSÃO DE USO GRATUITO DE IMÓVEL. </w:t>
      </w:r>
    </w:p>
    <w:p>
      <w:pPr>
        <w:pStyle w:val="Normal"/>
        <w:spacing w:lineRule="auto" w:line="240"/>
        <w:ind w:left="2552" w:hanging="0"/>
        <w:jc w:val="both"/>
        <w:rPr>
          <w:rFonts w:ascii="Times New Roman" w:hAnsi="Times New Roman"/>
        </w:rPr>
      </w:pPr>
      <w:r>
        <w:rPr>
          <w:rFonts w:ascii="Times New Roman" w:hAnsi="Times New Roman"/>
        </w:rPr>
      </w:r>
    </w:p>
    <w:p>
      <w:pPr>
        <w:pStyle w:val="Normal"/>
        <w:spacing w:lineRule="auto" w:line="240"/>
        <w:ind w:firstLine="851"/>
        <w:jc w:val="both"/>
        <w:rPr>
          <w:rFonts w:ascii="Times New Roman" w:hAnsi="Times New Roman"/>
        </w:rPr>
      </w:pPr>
      <w:r>
        <w:rPr>
          <w:rFonts w:ascii="Times New Roman" w:hAnsi="Times New Roman"/>
          <w:b/>
          <w:i/>
        </w:rPr>
        <w:t>Art.1º -</w:t>
      </w:r>
      <w:r>
        <w:rPr>
          <w:rFonts w:ascii="Times New Roman" w:hAnsi="Times New Roman"/>
        </w:rPr>
        <w:t xml:space="preserve"> Fica o Executivo Municipal autorizado a CEDER EM USO à LIGA ESPORTIVA DE CATAGUASES, CNPJ nº 17.705.880/0001-02, imóvel público composto de uma casa com área construída de 83,34m2, contendo: 02 quartos, sala, copa, cozinha , banheiro e área de  ,  localizado a Rua Gama Cerqueira nº 158, Centro, Inscrição Municipal nº 01.07.051.0123.001.01, neste Município de Cataguases, Estado de Minas Gerais, devidamente registrado no CRI desta Comarca sobmatrícula nº 12.704, de propriedade do Município de Cataguases. </w:t>
      </w:r>
    </w:p>
    <w:p>
      <w:pPr>
        <w:pStyle w:val="Normal"/>
        <w:spacing w:lineRule="auto" w:line="240"/>
        <w:jc w:val="both"/>
        <w:rPr>
          <w:rFonts w:ascii="Times New Roman" w:hAnsi="Times New Roman"/>
        </w:rPr>
      </w:pPr>
      <w:r>
        <w:rPr>
          <w:rFonts w:ascii="Times New Roman" w:hAnsi="Times New Roman"/>
          <w:b/>
        </w:rPr>
        <w:t>Parágrafo Único -</w:t>
      </w:r>
      <w:r>
        <w:rPr>
          <w:rFonts w:ascii="Times New Roman" w:hAnsi="Times New Roman"/>
        </w:rPr>
        <w:t xml:space="preserve"> Destina se o imóvel a instalação da Sede da Cessionária para promoção de suas atividades, conforme estatuto da mesma.</w:t>
      </w:r>
    </w:p>
    <w:p>
      <w:pPr>
        <w:pStyle w:val="Normal"/>
        <w:spacing w:lineRule="auto" w:line="240"/>
        <w:ind w:firstLine="851"/>
        <w:jc w:val="both"/>
        <w:rPr>
          <w:rFonts w:ascii="Times New Roman" w:hAnsi="Times New Roman"/>
        </w:rPr>
      </w:pPr>
      <w:r>
        <w:rPr>
          <w:rFonts w:ascii="Times New Roman" w:hAnsi="Times New Roman"/>
          <w:b/>
          <w:i/>
        </w:rPr>
        <w:t>Art.2º -</w:t>
      </w:r>
      <w:r>
        <w:rPr>
          <w:rFonts w:ascii="Times New Roman" w:hAnsi="Times New Roman"/>
        </w:rPr>
        <w:t xml:space="preserve"> A CESSÃO DE USO concedida será formalizada através de instrumento administrativo, ou seja, Contrato de Cessão de Uso de Imóvel que poderá ser averbado à margem da matrícula supramencionada junto ao Cartório do Registro de Imóveis.</w:t>
      </w:r>
    </w:p>
    <w:p>
      <w:pPr>
        <w:pStyle w:val="Normal"/>
        <w:spacing w:lineRule="auto" w:line="240"/>
        <w:ind w:firstLine="851"/>
        <w:jc w:val="both"/>
        <w:rPr>
          <w:rFonts w:ascii="Times New Roman" w:hAnsi="Times New Roman"/>
        </w:rPr>
      </w:pPr>
      <w:r>
        <w:rPr>
          <w:rFonts w:ascii="Times New Roman" w:hAnsi="Times New Roman"/>
          <w:b/>
          <w:i/>
        </w:rPr>
        <w:t>Art.3º -</w:t>
      </w:r>
      <w:r>
        <w:rPr>
          <w:rFonts w:ascii="Times New Roman" w:hAnsi="Times New Roman"/>
        </w:rPr>
        <w:t xml:space="preserve"> A partir da assinatura do Contrato a Cessionária se obriga a:</w:t>
      </w:r>
    </w:p>
    <w:p>
      <w:pPr>
        <w:pStyle w:val="Normal"/>
        <w:spacing w:lineRule="auto" w:line="240" w:before="0" w:after="0"/>
        <w:jc w:val="both"/>
        <w:rPr>
          <w:rFonts w:ascii="Times New Roman" w:hAnsi="Times New Roman"/>
        </w:rPr>
      </w:pPr>
      <w:r>
        <w:rPr>
          <w:rFonts w:ascii="Times New Roman" w:hAnsi="Times New Roman"/>
        </w:rPr>
        <w:t>I - Zelar pela integridade do bem, conservando-o e mantendo o em perfeito estado de higiene, limpeza e conservação, responsabilizando-se pela manutenção de todas as instalações, pintura, pisos e áreas externas, restituindo-o nas mesmas condições recebidas, salvo desgastes naturais pelo uso.</w:t>
      </w:r>
    </w:p>
    <w:p>
      <w:pPr>
        <w:pStyle w:val="Normal"/>
        <w:spacing w:lineRule="auto" w:line="240" w:before="0" w:after="0"/>
        <w:jc w:val="both"/>
        <w:rPr>
          <w:rFonts w:ascii="Times New Roman" w:hAnsi="Times New Roman"/>
        </w:rPr>
      </w:pPr>
      <w:r>
        <w:rPr>
          <w:rFonts w:ascii="Times New Roman" w:hAnsi="Times New Roman"/>
        </w:rPr>
      </w:r>
    </w:p>
    <w:p>
      <w:pPr>
        <w:pStyle w:val="Normal"/>
        <w:spacing w:lineRule="auto" w:line="240" w:before="0" w:after="0"/>
        <w:jc w:val="both"/>
        <w:rPr>
          <w:rFonts w:ascii="Times New Roman" w:hAnsi="Times New Roman"/>
        </w:rPr>
      </w:pPr>
      <w:r>
        <w:rPr>
          <w:rFonts w:ascii="Times New Roman" w:hAnsi="Times New Roman"/>
        </w:rPr>
        <w:t>II - Utilizar o imóvel com decoro, estritamente para fins de suas atividades, ou seja, administração da Entidade e reuniões, sendo vedado a CESSIONÁRIA utilizá-lo de forma contrária à moral, aos bons costumes, ou para atividades que perturbem o sossego, segurança ou saúde dos vizinhos.</w:t>
      </w:r>
    </w:p>
    <w:p>
      <w:pPr>
        <w:pStyle w:val="Normal"/>
        <w:spacing w:lineRule="auto" w:line="240" w:before="0" w:after="0"/>
        <w:jc w:val="both"/>
        <w:rPr>
          <w:rFonts w:ascii="Times New Roman" w:hAnsi="Times New Roman"/>
        </w:rPr>
      </w:pPr>
      <w:r>
        <w:rPr>
          <w:rFonts w:ascii="Times New Roman" w:hAnsi="Times New Roman"/>
        </w:rPr>
      </w:r>
    </w:p>
    <w:p>
      <w:pPr>
        <w:pStyle w:val="Normal"/>
        <w:spacing w:lineRule="auto" w:line="240" w:before="0" w:after="0"/>
        <w:jc w:val="both"/>
        <w:rPr>
          <w:rFonts w:ascii="Times New Roman" w:hAnsi="Times New Roman"/>
        </w:rPr>
      </w:pPr>
      <w:r>
        <w:rPr>
          <w:rFonts w:ascii="Times New Roman" w:hAnsi="Times New Roman"/>
        </w:rPr>
        <w:t xml:space="preserve">III - Promover o pagamento de todas as despesas decorrentes do uso do imóvel, tais como, energia elétrica, água, telefone, internet, etc. </w:t>
      </w:r>
    </w:p>
    <w:p>
      <w:pPr>
        <w:pStyle w:val="Normal"/>
        <w:spacing w:lineRule="auto" w:line="240"/>
        <w:jc w:val="both"/>
        <w:rPr>
          <w:rFonts w:ascii="Times New Roman" w:hAnsi="Times New Roman"/>
        </w:rPr>
      </w:pPr>
      <w:r>
        <w:rPr>
          <w:rFonts w:ascii="Times New Roman" w:hAnsi="Times New Roman"/>
        </w:rPr>
      </w:r>
    </w:p>
    <w:p>
      <w:pPr>
        <w:pStyle w:val="Normal"/>
        <w:spacing w:lineRule="auto" w:line="240"/>
        <w:ind w:firstLine="851"/>
        <w:jc w:val="both"/>
        <w:rPr>
          <w:rFonts w:ascii="Times New Roman" w:hAnsi="Times New Roman"/>
        </w:rPr>
      </w:pPr>
      <w:r>
        <w:rPr>
          <w:rFonts w:ascii="Times New Roman" w:hAnsi="Times New Roman"/>
          <w:b/>
          <w:i/>
        </w:rPr>
        <w:t>Art.4º -</w:t>
      </w:r>
      <w:r>
        <w:rPr>
          <w:rFonts w:ascii="Times New Roman" w:hAnsi="Times New Roman"/>
        </w:rPr>
        <w:t xml:space="preserve"> A CESSÃO DE USO caducará automaticamente e o imóvel reverterá ao Município de Cataguases em sua totalidade, sem indenização à qualquer título por quaisquer benfeitorias realizadas no imóvel pela Cessionária, caso:</w:t>
      </w:r>
    </w:p>
    <w:p>
      <w:pPr>
        <w:pStyle w:val="Normal"/>
        <w:spacing w:lineRule="auto" w:line="240"/>
        <w:jc w:val="both"/>
        <w:rPr>
          <w:rFonts w:ascii="Times New Roman" w:hAnsi="Times New Roman"/>
        </w:rPr>
      </w:pPr>
      <w:r>
        <w:rPr>
          <w:rFonts w:ascii="Times New Roman" w:hAnsi="Times New Roman"/>
        </w:rPr>
        <w:t xml:space="preserve">I - Não seja dada ao imóvel a destinação constante do parágrafo único do Artigo 1º. </w:t>
      </w:r>
    </w:p>
    <w:p>
      <w:pPr>
        <w:pStyle w:val="Normal"/>
        <w:spacing w:lineRule="auto" w:line="240"/>
        <w:jc w:val="both"/>
        <w:rPr>
          <w:rFonts w:ascii="Times New Roman" w:hAnsi="Times New Roman"/>
        </w:rPr>
      </w:pPr>
      <w:r>
        <w:rPr>
          <w:rFonts w:ascii="Times New Roman" w:hAnsi="Times New Roman"/>
        </w:rPr>
        <w:t>II – Não ocorra o cumprimento de quaisquer obrigações impostas do Artigo 2º;</w:t>
      </w:r>
    </w:p>
    <w:p>
      <w:pPr>
        <w:pStyle w:val="Normal"/>
        <w:spacing w:lineRule="auto" w:line="240"/>
        <w:jc w:val="both"/>
        <w:rPr>
          <w:rFonts w:ascii="Times New Roman" w:hAnsi="Times New Roman"/>
        </w:rPr>
      </w:pPr>
      <w:r>
        <w:rPr>
          <w:rFonts w:ascii="Times New Roman" w:hAnsi="Times New Roman"/>
        </w:rPr>
        <w:t>III – Fazer uso do imóvel para atividades ilícitas, armazenamento de materiais perigosos, ilegais ou que comprometam a estrutura do mesmo;</w:t>
      </w:r>
    </w:p>
    <w:p>
      <w:pPr>
        <w:pStyle w:val="Normal"/>
        <w:spacing w:lineRule="auto" w:line="240"/>
        <w:jc w:val="both"/>
        <w:rPr>
          <w:rFonts w:ascii="Times New Roman" w:hAnsi="Times New Roman"/>
        </w:rPr>
      </w:pPr>
      <w:r>
        <w:rPr>
          <w:rFonts w:ascii="Times New Roman" w:hAnsi="Times New Roman"/>
        </w:rPr>
        <w:t>IV - Ocorra a ociosidade ou o encerramento da Entidade;</w:t>
      </w:r>
    </w:p>
    <w:p>
      <w:pPr>
        <w:pStyle w:val="Normal"/>
        <w:spacing w:lineRule="auto" w:line="240"/>
        <w:jc w:val="both"/>
        <w:rPr>
          <w:rFonts w:ascii="Times New Roman" w:hAnsi="Times New Roman"/>
        </w:rPr>
      </w:pPr>
      <w:r>
        <w:rPr>
          <w:rFonts w:ascii="Times New Roman" w:hAnsi="Times New Roman"/>
        </w:rPr>
        <w:t>V - Seja o imóvel cedido a terceiros a qualquer título;</w:t>
      </w:r>
    </w:p>
    <w:p>
      <w:pPr>
        <w:pStyle w:val="Normal"/>
        <w:spacing w:lineRule="auto" w:line="240"/>
        <w:jc w:val="both"/>
        <w:rPr>
          <w:rFonts w:ascii="Times New Roman" w:hAnsi="Times New Roman"/>
        </w:rPr>
      </w:pPr>
      <w:r>
        <w:rPr>
          <w:rFonts w:ascii="Times New Roman" w:hAnsi="Times New Roman"/>
        </w:rPr>
        <w:t>VI – Caso ocorra interesse da Administração Pública para sua utilização do imóvel objeto dessa Lei</w:t>
      </w:r>
    </w:p>
    <w:p>
      <w:pPr>
        <w:pStyle w:val="Normal"/>
        <w:spacing w:lineRule="auto" w:line="240"/>
        <w:jc w:val="both"/>
        <w:rPr>
          <w:rFonts w:ascii="Times New Roman" w:hAnsi="Times New Roman"/>
        </w:rPr>
      </w:pPr>
      <w:r>
        <w:rPr>
          <w:rFonts w:ascii="Times New Roman" w:hAnsi="Times New Roman"/>
          <w:b/>
        </w:rPr>
        <w:t>Parágrafo Único -</w:t>
      </w:r>
      <w:r>
        <w:rPr>
          <w:rFonts w:ascii="Times New Roman" w:hAnsi="Times New Roman"/>
        </w:rPr>
        <w:t xml:space="preserve"> No caso da Cessionária ter optado pela averbação do Contrato junto ao CRI desta Comarca, fica determinado que a reversão será oficializada através de Ofício do Executivo ao Cartório, anexando ao mesmo, cópia da Notificação solicitando a desocupação e cópia do recibo do Correio (AR) demonstrando o recebimento pela Cessionária. </w:t>
      </w:r>
    </w:p>
    <w:p>
      <w:pPr>
        <w:pStyle w:val="Normal"/>
        <w:spacing w:lineRule="auto" w:line="240"/>
        <w:ind w:firstLine="851"/>
        <w:jc w:val="both"/>
        <w:rPr>
          <w:rFonts w:ascii="Times New Roman" w:hAnsi="Times New Roman"/>
        </w:rPr>
      </w:pPr>
      <w:r>
        <w:rPr>
          <w:rFonts w:ascii="Times New Roman" w:hAnsi="Times New Roman"/>
          <w:b/>
          <w:i/>
        </w:rPr>
        <w:t>Art.5º-</w:t>
      </w:r>
      <w:r>
        <w:rPr>
          <w:rFonts w:ascii="Times New Roman" w:hAnsi="Times New Roman"/>
        </w:rPr>
        <w:t xml:space="preserve"> Esta Lei entra em vigor na data de sua publicação.</w:t>
      </w:r>
    </w:p>
    <w:p>
      <w:pPr>
        <w:pStyle w:val="Normal"/>
        <w:spacing w:lineRule="auto" w:line="240" w:before="0" w:after="0"/>
        <w:ind w:left="284" w:right="283" w:hanging="0"/>
        <w:rPr>
          <w:rFonts w:ascii="Times New Roman" w:hAnsi="Times New Roman"/>
        </w:rPr>
      </w:pPr>
      <w:r>
        <w:rPr>
          <w:rFonts w:ascii="Times New Roman" w:hAnsi="Times New Roman"/>
        </w:rPr>
        <w:t>Gabinete do Prefeito,</w:t>
      </w:r>
    </w:p>
    <w:p>
      <w:pPr>
        <w:pStyle w:val="Normal"/>
        <w:spacing w:lineRule="auto" w:line="240" w:before="0" w:after="0"/>
        <w:ind w:left="284" w:right="283" w:hanging="0"/>
        <w:rPr>
          <w:rFonts w:ascii="Times New Roman" w:hAnsi="Times New Roman"/>
        </w:rPr>
      </w:pPr>
      <w:r>
        <w:rPr>
          <w:rFonts w:ascii="Times New Roman" w:hAnsi="Times New Roman"/>
        </w:rPr>
        <w:t>Cataguases, 05 de março de 2026.</w:t>
      </w:r>
    </w:p>
    <w:p>
      <w:pPr>
        <w:pStyle w:val="Normal"/>
        <w:spacing w:lineRule="auto" w:line="240" w:before="0" w:after="120"/>
        <w:ind w:right="283" w:hanging="0"/>
        <w:rPr>
          <w:rFonts w:ascii="Times New Roman" w:hAnsi="Times New Roman"/>
        </w:rPr>
      </w:pPr>
      <w:r>
        <w:rPr>
          <w:rFonts w:ascii="Times New Roman" w:hAnsi="Times New Roman"/>
        </w:rPr>
      </w:r>
    </w:p>
    <w:p>
      <w:pPr>
        <w:pStyle w:val="Normal"/>
        <w:spacing w:lineRule="auto" w:line="240" w:before="0" w:after="120"/>
        <w:ind w:right="283" w:hanging="0"/>
        <w:rPr>
          <w:rFonts w:ascii="Times New Roman" w:hAnsi="Times New Roman"/>
        </w:rPr>
      </w:pPr>
      <w:r>
        <w:rPr>
          <w:rFonts w:ascii="Times New Roman" w:hAnsi="Times New Roman"/>
        </w:rPr>
      </w:r>
    </w:p>
    <w:p>
      <w:pPr>
        <w:pStyle w:val="Normal"/>
        <w:spacing w:lineRule="auto" w:line="240" w:before="0" w:after="120"/>
        <w:ind w:right="283" w:hanging="0"/>
        <w:rPr>
          <w:rFonts w:ascii="Times New Roman" w:hAnsi="Times New Roman"/>
        </w:rPr>
      </w:pPr>
      <w:r>
        <w:rPr>
          <w:rFonts w:ascii="Times New Roman" w:hAnsi="Times New Roman"/>
        </w:rPr>
      </w:r>
    </w:p>
    <w:p>
      <w:pPr>
        <w:pStyle w:val="Normal"/>
        <w:spacing w:lineRule="auto" w:line="240" w:before="0" w:after="120"/>
        <w:ind w:right="283" w:hanging="0"/>
        <w:rPr>
          <w:rFonts w:ascii="Times New Roman" w:hAnsi="Times New Roman"/>
        </w:rPr>
      </w:pPr>
      <w:r>
        <w:rPr>
          <w:rFonts w:ascii="Times New Roman" w:hAnsi="Times New Roman"/>
        </w:rPr>
      </w:r>
    </w:p>
    <w:p>
      <w:pPr>
        <w:pStyle w:val="Normal"/>
        <w:spacing w:lineRule="auto" w:line="240" w:before="0" w:after="120"/>
        <w:ind w:right="283" w:hanging="0"/>
        <w:rPr>
          <w:rFonts w:ascii="Times New Roman" w:hAnsi="Times New Roman"/>
        </w:rPr>
      </w:pPr>
      <w:r>
        <w:rPr>
          <w:rFonts w:ascii="Times New Roman" w:hAnsi="Times New Roman"/>
        </w:rPr>
      </w:r>
    </w:p>
    <w:p>
      <w:pPr>
        <w:pStyle w:val="Normal"/>
        <w:spacing w:lineRule="auto" w:line="240" w:before="0" w:after="120"/>
        <w:ind w:right="283" w:hanging="0"/>
        <w:rPr>
          <w:rFonts w:ascii="Times New Roman" w:hAnsi="Times New Roman"/>
        </w:rPr>
      </w:pPr>
      <w:r>
        <w:rPr>
          <w:rFonts w:ascii="Times New Roman" w:hAnsi="Times New Roman"/>
        </w:rPr>
      </w:r>
    </w:p>
    <w:p>
      <w:pPr>
        <w:pStyle w:val="Normal"/>
        <w:spacing w:lineRule="auto" w:line="240" w:before="0" w:after="120"/>
        <w:ind w:right="283" w:hanging="0"/>
        <w:rPr>
          <w:rFonts w:ascii="Times New Roman" w:hAnsi="Times New Roman"/>
        </w:rPr>
      </w:pPr>
      <w:r>
        <w:rPr>
          <w:rFonts w:ascii="Times New Roman" w:hAnsi="Times New Roman"/>
        </w:rPr>
      </w:r>
    </w:p>
    <w:p>
      <w:pPr>
        <w:pStyle w:val="Normal"/>
        <w:spacing w:lineRule="auto" w:line="240" w:before="0" w:after="120"/>
        <w:ind w:left="284" w:right="283" w:hanging="0"/>
        <w:jc w:val="right"/>
        <w:rPr>
          <w:rFonts w:ascii="Times New Roman" w:hAnsi="Times New Roman"/>
        </w:rPr>
      </w:pPr>
      <w:r>
        <w:rPr>
          <w:rFonts w:ascii="Times New Roman" w:hAnsi="Times New Roman"/>
        </w:rPr>
      </w:r>
    </w:p>
    <w:p>
      <w:pPr>
        <w:pStyle w:val="Normal"/>
        <w:spacing w:lineRule="auto" w:line="240" w:before="0" w:after="120"/>
        <w:ind w:left="284" w:right="283" w:hanging="0"/>
        <w:jc w:val="right"/>
        <w:rPr>
          <w:rFonts w:ascii="Times New Roman" w:hAnsi="Times New Roman"/>
        </w:rPr>
      </w:pPr>
      <w:r>
        <w:rPr>
          <w:rFonts w:ascii="Times New Roman" w:hAnsi="Times New Roman"/>
        </w:rPr>
      </w:r>
    </w:p>
    <w:p>
      <w:pPr>
        <w:pStyle w:val="Normal"/>
        <w:spacing w:lineRule="auto" w:line="240" w:before="0" w:after="0"/>
        <w:ind w:left="284" w:right="283" w:hanging="0"/>
        <w:jc w:val="center"/>
        <w:rPr>
          <w:rFonts w:ascii="Times New Roman" w:hAnsi="Times New Roman"/>
          <w:b/>
          <w:b/>
        </w:rPr>
      </w:pPr>
      <w:r>
        <w:rPr>
          <w:rFonts w:ascii="Times New Roman" w:hAnsi="Times New Roman"/>
          <w:b/>
        </w:rPr>
        <w:t>José Henriques</w:t>
      </w:r>
    </w:p>
    <w:p>
      <w:pPr>
        <w:pStyle w:val="Normal"/>
        <w:spacing w:lineRule="auto" w:line="240" w:before="0" w:after="0"/>
        <w:ind w:left="284" w:right="283" w:hanging="0"/>
        <w:jc w:val="center"/>
        <w:rPr/>
      </w:pPr>
      <w:r>
        <w:rPr>
          <w:rFonts w:ascii="Times New Roman" w:hAnsi="Times New Roman"/>
          <w:b/>
        </w:rPr>
        <w:t xml:space="preserve">Prefeito </w:t>
      </w:r>
    </w:p>
    <w:sectPr>
      <w:type w:val="nextPage"/>
      <w:pgSz w:w="11906" w:h="16838"/>
      <w:pgMar w:left="1134" w:right="1133" w:header="0" w:top="1135"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Hyperlink" w:qFormat="1"/>
    <w:lsdException w:name="Strong" w:uiPriority="22" w:semiHidden="0" w:unhideWhenUsed="0" w:qFormat="1"/>
    <w:lsdException w:name="Emphasis" w:uiPriority="20" w:semiHidden="0" w:unhideWhenUsed="0" w:qFormat="1"/>
    <w:lsdException w:name="Normal (Web)"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96752"/>
    <w:pPr>
      <w:widowControl/>
      <w:bidi w:val="0"/>
      <w:spacing w:lineRule="auto" w:line="276" w:before="0" w:after="200"/>
      <w:jc w:val="left"/>
    </w:pPr>
    <w:rPr>
      <w:rFonts w:ascii="Calibri" w:hAnsi="Calibri" w:eastAsia="Calibri" w:cs="Times New Roman"/>
      <w:color w:val="auto"/>
      <w:kern w:val="0"/>
      <w:sz w:val="22"/>
      <w:szCs w:val="22"/>
      <w:lang w:eastAsia="en-US" w:val="pt-BR" w:bidi="ar-SA"/>
    </w:rPr>
  </w:style>
  <w:style w:type="character" w:styleId="DefaultParagraphFont" w:default="1">
    <w:name w:val="Default Paragraph Font"/>
    <w:uiPriority w:val="1"/>
    <w:semiHidden/>
    <w:unhideWhenUsed/>
    <w:qFormat/>
    <w:rPr/>
  </w:style>
  <w:style w:type="character" w:styleId="Strong">
    <w:name w:val="Strong"/>
    <w:uiPriority w:val="22"/>
    <w:qFormat/>
    <w:rsid w:val="00f95502"/>
    <w:rPr>
      <w:b/>
      <w:bCs/>
    </w:rPr>
  </w:style>
  <w:style w:type="character" w:styleId="LinkdaInternet">
    <w:name w:val="Link da Internet"/>
    <w:uiPriority w:val="99"/>
    <w:unhideWhenUsed/>
    <w:qFormat/>
    <w:rsid w:val="00f95502"/>
    <w:rPr>
      <w:color w:val="0563C1"/>
      <w:u w:val="single"/>
    </w:rPr>
  </w:style>
  <w:style w:type="character" w:styleId="CorpodetextoChar" w:customStyle="1">
    <w:name w:val="Corpo de texto Char"/>
    <w:basedOn w:val="DefaultParagraphFont"/>
    <w:link w:val="Corpodetexto"/>
    <w:uiPriority w:val="1"/>
    <w:qFormat/>
    <w:rsid w:val="007d7c00"/>
    <w:rPr>
      <w:rFonts w:ascii="Times New Roman" w:hAnsi="Times New Roman" w:eastAsia="Times New Roman"/>
      <w:sz w:val="24"/>
      <w:szCs w:val="24"/>
      <w:lang w:val="pt-PT" w:eastAsia="en-US"/>
    </w:rPr>
  </w:style>
  <w:style w:type="character" w:styleId="ListLabel1">
    <w:name w:val="ListLabel 1"/>
    <w:qFormat/>
    <w:rPr>
      <w:rFonts w:eastAsia="Arial MT" w:cs="Arial"/>
      <w:w w:val="100"/>
      <w:sz w:val="24"/>
      <w:szCs w:val="24"/>
      <w:lang w:val="pt-PT" w:eastAsia="en-US" w:bidi="ar-SA"/>
    </w:rPr>
  </w:style>
  <w:style w:type="character" w:styleId="ListLabel2">
    <w:name w:val="ListLabel 2"/>
    <w:qFormat/>
    <w:rPr>
      <w:lang w:val="pt-PT" w:eastAsia="en-US" w:bidi="ar-SA"/>
    </w:rPr>
  </w:style>
  <w:style w:type="character" w:styleId="ListLabel3">
    <w:name w:val="ListLabel 3"/>
    <w:qFormat/>
    <w:rPr>
      <w:lang w:val="pt-PT" w:eastAsia="en-US" w:bidi="ar-SA"/>
    </w:rPr>
  </w:style>
  <w:style w:type="character" w:styleId="ListLabel4">
    <w:name w:val="ListLabel 4"/>
    <w:qFormat/>
    <w:rPr>
      <w:lang w:val="pt-PT" w:eastAsia="en-US" w:bidi="ar-SA"/>
    </w:rPr>
  </w:style>
  <w:style w:type="character" w:styleId="ListLabel5">
    <w:name w:val="ListLabel 5"/>
    <w:qFormat/>
    <w:rPr>
      <w:lang w:val="pt-PT" w:eastAsia="en-US" w:bidi="ar-SA"/>
    </w:rPr>
  </w:style>
  <w:style w:type="character" w:styleId="ListLabel6">
    <w:name w:val="ListLabel 6"/>
    <w:qFormat/>
    <w:rPr>
      <w:lang w:val="pt-PT" w:eastAsia="en-US" w:bidi="ar-SA"/>
    </w:rPr>
  </w:style>
  <w:style w:type="character" w:styleId="ListLabel7">
    <w:name w:val="ListLabel 7"/>
    <w:qFormat/>
    <w:rPr>
      <w:lang w:val="pt-PT" w:eastAsia="en-US" w:bidi="ar-SA"/>
    </w:rPr>
  </w:style>
  <w:style w:type="character" w:styleId="ListLabel8">
    <w:name w:val="ListLabel 8"/>
    <w:qFormat/>
    <w:rPr>
      <w:lang w:val="pt-PT" w:eastAsia="en-US" w:bidi="ar-SA"/>
    </w:rPr>
  </w:style>
  <w:style w:type="character" w:styleId="ListLabel9">
    <w:name w:val="ListLabel 9"/>
    <w:qFormat/>
    <w:rPr>
      <w:lang w:val="pt-PT" w:eastAsia="en-US" w:bidi="ar-SA"/>
    </w:rPr>
  </w:style>
  <w:style w:type="character" w:styleId="ListLabel10">
    <w:name w:val="ListLabel 10"/>
    <w:qFormat/>
    <w:rPr>
      <w:rFonts w:eastAsia="Arial MT" w:cs="Arial"/>
      <w:w w:val="100"/>
      <w:sz w:val="24"/>
      <w:szCs w:val="24"/>
      <w:lang w:val="pt-PT" w:eastAsia="en-US" w:bidi="ar-SA"/>
    </w:rPr>
  </w:style>
  <w:style w:type="character" w:styleId="ListLabel11">
    <w:name w:val="ListLabel 11"/>
    <w:qFormat/>
    <w:rPr>
      <w:lang w:val="pt-PT" w:eastAsia="en-US" w:bidi="ar-SA"/>
    </w:rPr>
  </w:style>
  <w:style w:type="character" w:styleId="ListLabel12">
    <w:name w:val="ListLabel 12"/>
    <w:qFormat/>
    <w:rPr>
      <w:lang w:val="pt-PT" w:eastAsia="en-US" w:bidi="ar-SA"/>
    </w:rPr>
  </w:style>
  <w:style w:type="character" w:styleId="ListLabel13">
    <w:name w:val="ListLabel 13"/>
    <w:qFormat/>
    <w:rPr>
      <w:lang w:val="pt-PT" w:eastAsia="en-US" w:bidi="ar-SA"/>
    </w:rPr>
  </w:style>
  <w:style w:type="character" w:styleId="ListLabel14">
    <w:name w:val="ListLabel 14"/>
    <w:qFormat/>
    <w:rPr>
      <w:lang w:val="pt-PT" w:eastAsia="en-US" w:bidi="ar-SA"/>
    </w:rPr>
  </w:style>
  <w:style w:type="character" w:styleId="ListLabel15">
    <w:name w:val="ListLabel 15"/>
    <w:qFormat/>
    <w:rPr>
      <w:lang w:val="pt-PT" w:eastAsia="en-US" w:bidi="ar-SA"/>
    </w:rPr>
  </w:style>
  <w:style w:type="character" w:styleId="ListLabel16">
    <w:name w:val="ListLabel 16"/>
    <w:qFormat/>
    <w:rPr>
      <w:lang w:val="pt-PT" w:eastAsia="en-US" w:bidi="ar-SA"/>
    </w:rPr>
  </w:style>
  <w:style w:type="character" w:styleId="ListLabel17">
    <w:name w:val="ListLabel 17"/>
    <w:qFormat/>
    <w:rPr>
      <w:lang w:val="pt-PT" w:eastAsia="en-US" w:bidi="ar-SA"/>
    </w:rPr>
  </w:style>
  <w:style w:type="character" w:styleId="ListLabel18">
    <w:name w:val="ListLabel 18"/>
    <w:qFormat/>
    <w:rPr>
      <w:lang w:val="pt-PT" w:eastAsia="en-US" w:bidi="ar-SA"/>
    </w:rPr>
  </w:style>
  <w:style w:type="paragraph" w:styleId="Ttulo">
    <w:name w:val="Título"/>
    <w:basedOn w:val="Normal"/>
    <w:next w:val="Corpodetexto"/>
    <w:qFormat/>
    <w:pPr>
      <w:keepNext w:val="true"/>
      <w:spacing w:before="240" w:after="120"/>
    </w:pPr>
    <w:rPr>
      <w:rFonts w:ascii="Liberation Sans" w:hAnsi="Liberation Sans" w:eastAsia="Microsoft YaHei" w:cs="Lucida Sans"/>
      <w:sz w:val="28"/>
      <w:szCs w:val="28"/>
    </w:rPr>
  </w:style>
  <w:style w:type="paragraph" w:styleId="Corpodetexto">
    <w:name w:val="Body Text"/>
    <w:basedOn w:val="Normal"/>
    <w:link w:val="CorpodetextoChar"/>
    <w:uiPriority w:val="1"/>
    <w:qFormat/>
    <w:rsid w:val="007d7c00"/>
    <w:pPr>
      <w:widowControl w:val="false"/>
      <w:spacing w:lineRule="auto" w:line="240" w:before="0" w:after="0"/>
    </w:pPr>
    <w:rPr>
      <w:rFonts w:ascii="Times New Roman" w:hAnsi="Times New Roman" w:eastAsia="Times New Roman"/>
      <w:sz w:val="24"/>
      <w:szCs w:val="24"/>
      <w:lang w:val="pt-PT"/>
    </w:rPr>
  </w:style>
  <w:style w:type="paragraph" w:styleId="Lista">
    <w:name w:val="List"/>
    <w:basedOn w:val="Corpode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04651f"/>
    <w:pPr>
      <w:spacing w:lineRule="auto" w:line="240" w:beforeAutospacing="1" w:afterAutospacing="1"/>
    </w:pPr>
    <w:rPr>
      <w:rFonts w:ascii="Times New Roman" w:hAnsi="Times New Roman" w:eastAsia="Times New Roman"/>
      <w:sz w:val="24"/>
      <w:szCs w:val="24"/>
      <w:lang w:val="zh-CN" w:eastAsia="pt-BR"/>
    </w:rPr>
  </w:style>
  <w:style w:type="paragraph" w:styleId="Normal1" w:customStyle="1">
    <w:name w:val="LO-normal"/>
    <w:qFormat/>
    <w:rsid w:val="005d15cc"/>
    <w:pPr>
      <w:widowControl/>
      <w:bidi w:val="0"/>
      <w:spacing w:lineRule="auto" w:line="276" w:before="0" w:after="200"/>
      <w:jc w:val="left"/>
    </w:pPr>
    <w:rPr>
      <w:rFonts w:cs="Calibri" w:ascii="Calibri" w:hAnsi="Calibri" w:eastAsia="Calibri"/>
      <w:color w:val="auto"/>
      <w:kern w:val="0"/>
      <w:sz w:val="22"/>
      <w:szCs w:val="22"/>
      <w:lang w:val="pt-BR" w:eastAsia="pt-BR" w:bidi="ar-SA"/>
    </w:rPr>
  </w:style>
  <w:style w:type="paragraph" w:styleId="ListParagraph">
    <w:name w:val="List Paragraph"/>
    <w:basedOn w:val="Normal"/>
    <w:uiPriority w:val="34"/>
    <w:qFormat/>
    <w:rsid w:val="007d7c00"/>
    <w:pPr>
      <w:spacing w:before="0" w:after="200"/>
      <w:ind w:left="720" w:hanging="0"/>
      <w:contextualSpacing/>
    </w:pP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Application>LibreOffice/6.0.2.1$Windows_X86_64 LibreOffice_project/f7f06a8f319e4b62f9bc5095aa112a65d2f3ac89</Application>
  <Pages>2</Pages>
  <Words>475</Words>
  <Characters>2552</Characters>
  <CharactersWithSpaces>3017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2017-08-23T20:49:00Z</dcterms:created>
  <dc:creator>usuario</dc:creator>
  <dc:description/>
  <dc:language>pt-BR</dc:language>
  <cp:lastModifiedBy>Gabinete 03</cp:lastModifiedBy>
  <cp:lastPrinted>2021-08-31T19:21:00Z</cp:lastPrinted>
  <dcterms:modified xsi:type="dcterms:W3CDTF">2026-03-05T12:00:00Z</dcterms:modified>
  <cp:revision>50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