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BB291" w14:textId="77777777" w:rsidR="00EF3304" w:rsidRPr="001B2852" w:rsidRDefault="00EF3304" w:rsidP="00EF3304">
      <w:pPr>
        <w:keepNext/>
        <w:spacing w:after="0" w:line="240" w:lineRule="auto"/>
        <w:jc w:val="center"/>
        <w:rPr>
          <w:rFonts w:ascii="Garamond" w:eastAsia="Arial" w:hAnsi="Garamond" w:cstheme="minorHAnsi"/>
          <w:b/>
          <w:sz w:val="24"/>
          <w:szCs w:val="24"/>
        </w:rPr>
      </w:pPr>
      <w:bookmarkStart w:id="0" w:name="_Hlk178174996"/>
      <w:r w:rsidRPr="001B2852">
        <w:rPr>
          <w:rFonts w:ascii="Garamond" w:eastAsia="Arial" w:hAnsi="Garamond" w:cstheme="minorHAnsi"/>
          <w:b/>
          <w:sz w:val="24"/>
          <w:szCs w:val="24"/>
        </w:rPr>
        <w:t xml:space="preserve">PARECER JURÍDICO </w:t>
      </w:r>
    </w:p>
    <w:p w14:paraId="1EBE28B7" w14:textId="77777777" w:rsidR="00EF3304" w:rsidRPr="001B2852" w:rsidRDefault="00EF3304" w:rsidP="00EF3304">
      <w:pPr>
        <w:keepNext/>
        <w:spacing w:after="0" w:line="240" w:lineRule="auto"/>
        <w:jc w:val="center"/>
        <w:rPr>
          <w:rFonts w:ascii="Garamond" w:eastAsia="Arial" w:hAnsi="Garamond" w:cstheme="minorHAnsi"/>
          <w:b/>
          <w:sz w:val="24"/>
          <w:szCs w:val="24"/>
        </w:rPr>
      </w:pPr>
      <w:r w:rsidRPr="001B2852">
        <w:rPr>
          <w:rFonts w:ascii="Garamond" w:eastAsia="Arial" w:hAnsi="Garamond" w:cstheme="minorHAnsi"/>
          <w:b/>
          <w:sz w:val="24"/>
          <w:szCs w:val="24"/>
        </w:rPr>
        <w:t xml:space="preserve">PROJETOS DE LEIS ORDINÁRIAS Nº </w:t>
      </w:r>
      <w:r w:rsidR="00CC6B26" w:rsidRPr="001B2852">
        <w:rPr>
          <w:rFonts w:ascii="Garamond" w:eastAsia="Arial" w:hAnsi="Garamond" w:cstheme="minorHAnsi"/>
          <w:b/>
          <w:sz w:val="24"/>
          <w:szCs w:val="24"/>
        </w:rPr>
        <w:t>61</w:t>
      </w:r>
      <w:r w:rsidRPr="001B2852">
        <w:rPr>
          <w:rFonts w:ascii="Garamond" w:eastAsia="Arial" w:hAnsi="Garamond" w:cstheme="minorHAnsi"/>
          <w:b/>
          <w:sz w:val="24"/>
          <w:szCs w:val="24"/>
        </w:rPr>
        <w:t>/2024</w:t>
      </w:r>
    </w:p>
    <w:p w14:paraId="002CA543" w14:textId="77777777" w:rsidR="00EF3304" w:rsidRPr="001B2852" w:rsidRDefault="00EF3304" w:rsidP="00EF3304">
      <w:pPr>
        <w:spacing w:after="0" w:line="240" w:lineRule="auto"/>
        <w:rPr>
          <w:rFonts w:ascii="Garamond" w:eastAsia="Arial" w:hAnsi="Garamond" w:cstheme="minorHAnsi"/>
          <w:sz w:val="24"/>
          <w:szCs w:val="24"/>
        </w:rPr>
      </w:pPr>
    </w:p>
    <w:p w14:paraId="46825517" w14:textId="77777777" w:rsidR="00E2782F" w:rsidRPr="001B2852" w:rsidRDefault="00E2782F" w:rsidP="00EF3304">
      <w:pPr>
        <w:tabs>
          <w:tab w:val="left" w:pos="2977"/>
        </w:tabs>
        <w:spacing w:after="0" w:line="240" w:lineRule="auto"/>
        <w:ind w:left="2268"/>
        <w:jc w:val="both"/>
        <w:rPr>
          <w:rFonts w:ascii="Garamond" w:eastAsia="Arial" w:hAnsi="Garamond" w:cstheme="minorHAnsi"/>
          <w:caps/>
          <w:sz w:val="24"/>
          <w:szCs w:val="24"/>
        </w:rPr>
      </w:pPr>
    </w:p>
    <w:p w14:paraId="2E77B279" w14:textId="47264729" w:rsidR="00EF3304" w:rsidRPr="001B2852" w:rsidRDefault="00EF3304" w:rsidP="00E2782F">
      <w:pPr>
        <w:spacing w:before="120" w:after="120" w:line="240" w:lineRule="auto"/>
        <w:ind w:left="1843"/>
        <w:jc w:val="both"/>
        <w:rPr>
          <w:rFonts w:ascii="Garamond" w:eastAsia="Arial" w:hAnsi="Garamond" w:cstheme="minorHAnsi"/>
          <w:caps/>
          <w:sz w:val="24"/>
          <w:szCs w:val="24"/>
        </w:rPr>
      </w:pPr>
      <w:r w:rsidRPr="001B2852">
        <w:rPr>
          <w:rFonts w:ascii="Garamond" w:eastAsia="Arial" w:hAnsi="Garamond" w:cstheme="minorHAnsi"/>
          <w:caps/>
          <w:sz w:val="24"/>
          <w:szCs w:val="24"/>
        </w:rPr>
        <w:t xml:space="preserve">LEGALIDADE DA AUTORIZAÇÃO PARA PODER EXECUTIVO MUNICIPAL </w:t>
      </w:r>
      <w:r w:rsidR="001B2852" w:rsidRPr="001B2852">
        <w:rPr>
          <w:rFonts w:ascii="Garamond" w:hAnsi="Garamond"/>
          <w:sz w:val="24"/>
          <w:szCs w:val="24"/>
        </w:rPr>
        <w:t>CEDER BENS À ORGANIZAÇÃO DA SOCIEDADE CIVIL, PARA FOMENTO DA AGRICULTURA FAMILIAR E DA ATIVIDADE DE PEQUENOS AGRICULTORES</w:t>
      </w:r>
      <w:r w:rsidRPr="001B2852">
        <w:rPr>
          <w:rFonts w:ascii="Garamond" w:eastAsia="Arial" w:hAnsi="Garamond" w:cstheme="minorHAnsi"/>
          <w:caps/>
          <w:sz w:val="24"/>
          <w:szCs w:val="24"/>
        </w:rPr>
        <w:t>,</w:t>
      </w:r>
      <w:r w:rsidR="001B2852" w:rsidRPr="001B2852">
        <w:rPr>
          <w:rFonts w:ascii="Garamond" w:eastAsia="Arial" w:hAnsi="Garamond" w:cstheme="minorHAnsi"/>
          <w:caps/>
          <w:sz w:val="24"/>
          <w:szCs w:val="24"/>
        </w:rPr>
        <w:t xml:space="preserve"> </w:t>
      </w:r>
      <w:r w:rsidR="001B2852" w:rsidRPr="001B2852">
        <w:rPr>
          <w:rFonts w:ascii="Garamond" w:hAnsi="Garamond"/>
          <w:caps/>
          <w:sz w:val="24"/>
          <w:szCs w:val="24"/>
        </w:rPr>
        <w:t>por meio de Acordo de Cooperação, precedido de chamamento público</w:t>
      </w:r>
      <w:r w:rsidRPr="001B2852">
        <w:rPr>
          <w:rFonts w:ascii="Garamond" w:eastAsia="Arial" w:hAnsi="Garamond" w:cstheme="minorHAnsi"/>
          <w:caps/>
          <w:sz w:val="24"/>
          <w:szCs w:val="24"/>
        </w:rPr>
        <w:t xml:space="preserve">. ANO DE ELEIÇÕES MUNICIPAIS. RESSALVA DO artigo 73, §10 da Lei nº 9.504/97. execução e manutenção dos programas sociais </w:t>
      </w:r>
      <w:r w:rsidR="00CC6B26" w:rsidRPr="001B2852">
        <w:rPr>
          <w:rFonts w:ascii="Garamond" w:eastAsia="Arial" w:hAnsi="Garamond" w:cstheme="minorHAnsi"/>
          <w:caps/>
          <w:sz w:val="24"/>
          <w:szCs w:val="24"/>
        </w:rPr>
        <w:t xml:space="preserve">COM A AUTORIZAÇÃO </w:t>
      </w:r>
      <w:r w:rsidRPr="001B2852">
        <w:rPr>
          <w:rFonts w:ascii="Garamond" w:eastAsia="Arial" w:hAnsi="Garamond" w:cstheme="minorHAnsi"/>
          <w:caps/>
          <w:sz w:val="24"/>
          <w:szCs w:val="24"/>
        </w:rPr>
        <w:t xml:space="preserve">em lei e execução orçamentária no exercício anterior. </w:t>
      </w:r>
    </w:p>
    <w:p w14:paraId="3B00902D" w14:textId="77777777" w:rsidR="00194F91" w:rsidRDefault="00194F91" w:rsidP="00EF3304">
      <w:pPr>
        <w:spacing w:before="120" w:after="120" w:line="360" w:lineRule="auto"/>
        <w:jc w:val="both"/>
        <w:rPr>
          <w:rFonts w:ascii="Garamond" w:eastAsia="Arial" w:hAnsi="Garamond" w:cstheme="minorHAnsi"/>
          <w:sz w:val="24"/>
          <w:szCs w:val="24"/>
        </w:rPr>
      </w:pPr>
    </w:p>
    <w:p w14:paraId="44333D02" w14:textId="77777777" w:rsidR="006F66D9" w:rsidRPr="001B2852" w:rsidRDefault="006F66D9" w:rsidP="00EF3304">
      <w:pPr>
        <w:spacing w:before="120" w:after="120" w:line="360" w:lineRule="auto"/>
        <w:jc w:val="both"/>
        <w:rPr>
          <w:rFonts w:ascii="Garamond" w:eastAsia="Arial" w:hAnsi="Garamond" w:cstheme="minorHAnsi"/>
          <w:sz w:val="24"/>
          <w:szCs w:val="24"/>
        </w:rPr>
      </w:pPr>
    </w:p>
    <w:p w14:paraId="2140A08B" w14:textId="22A243C0" w:rsidR="00EF3304" w:rsidRPr="001B2852" w:rsidRDefault="00EF3304" w:rsidP="00EF3304">
      <w:pPr>
        <w:spacing w:before="120" w:after="120" w:line="360" w:lineRule="auto"/>
        <w:jc w:val="both"/>
        <w:rPr>
          <w:rFonts w:ascii="Garamond" w:eastAsia="Arial" w:hAnsi="Garamond" w:cstheme="minorHAnsi"/>
          <w:b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>1</w:t>
      </w:r>
      <w:r w:rsidRPr="001B2852">
        <w:rPr>
          <w:rFonts w:ascii="Garamond" w:eastAsia="Arial" w:hAnsi="Garamond" w:cstheme="minorHAnsi"/>
          <w:b/>
          <w:sz w:val="24"/>
          <w:szCs w:val="24"/>
        </w:rPr>
        <w:t>. D</w:t>
      </w:r>
      <w:r w:rsidR="006F66D9">
        <w:rPr>
          <w:rFonts w:ascii="Garamond" w:eastAsia="Arial" w:hAnsi="Garamond" w:cstheme="minorHAnsi"/>
          <w:b/>
          <w:sz w:val="24"/>
          <w:szCs w:val="24"/>
        </w:rPr>
        <w:t>A MATÉRI</w:t>
      </w:r>
      <w:r w:rsidR="00962EAE">
        <w:rPr>
          <w:rFonts w:ascii="Garamond" w:eastAsia="Arial" w:hAnsi="Garamond" w:cstheme="minorHAnsi"/>
          <w:b/>
          <w:sz w:val="24"/>
          <w:szCs w:val="24"/>
        </w:rPr>
        <w:t>A</w:t>
      </w:r>
      <w:r w:rsidR="006F66D9">
        <w:rPr>
          <w:rFonts w:ascii="Garamond" w:eastAsia="Arial" w:hAnsi="Garamond" w:cstheme="minorHAnsi"/>
          <w:b/>
          <w:sz w:val="24"/>
          <w:szCs w:val="24"/>
        </w:rPr>
        <w:t xml:space="preserve"> E D</w:t>
      </w:r>
      <w:r w:rsidRPr="001B2852">
        <w:rPr>
          <w:rFonts w:ascii="Garamond" w:eastAsia="Arial" w:hAnsi="Garamond" w:cstheme="minorHAnsi"/>
          <w:b/>
          <w:sz w:val="24"/>
          <w:szCs w:val="24"/>
        </w:rPr>
        <w:t>O</w:t>
      </w:r>
      <w:r w:rsidR="00DA34F5">
        <w:rPr>
          <w:rFonts w:ascii="Garamond" w:eastAsia="Arial" w:hAnsi="Garamond" w:cstheme="minorHAnsi"/>
          <w:b/>
          <w:sz w:val="24"/>
          <w:szCs w:val="24"/>
        </w:rPr>
        <w:t>S</w:t>
      </w:r>
      <w:r w:rsidRPr="001B2852">
        <w:rPr>
          <w:rFonts w:ascii="Garamond" w:eastAsia="Arial" w:hAnsi="Garamond" w:cstheme="minorHAnsi"/>
          <w:b/>
          <w:sz w:val="24"/>
          <w:szCs w:val="24"/>
        </w:rPr>
        <w:t xml:space="preserve"> QUESTIONAMENTO</w:t>
      </w:r>
      <w:r w:rsidR="00DA34F5">
        <w:rPr>
          <w:rFonts w:ascii="Garamond" w:eastAsia="Arial" w:hAnsi="Garamond" w:cstheme="minorHAnsi"/>
          <w:b/>
          <w:sz w:val="24"/>
          <w:szCs w:val="24"/>
        </w:rPr>
        <w:t>S</w:t>
      </w:r>
      <w:r w:rsidRPr="001B2852">
        <w:rPr>
          <w:rFonts w:ascii="Garamond" w:eastAsia="Arial" w:hAnsi="Garamond" w:cstheme="minorHAnsi"/>
          <w:b/>
          <w:sz w:val="24"/>
          <w:szCs w:val="24"/>
        </w:rPr>
        <w:t xml:space="preserve"> </w:t>
      </w:r>
    </w:p>
    <w:p w14:paraId="48693DC2" w14:textId="77777777" w:rsidR="006F66D9" w:rsidRDefault="006F66D9" w:rsidP="00926C43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</w:p>
    <w:p w14:paraId="457AE6AD" w14:textId="4CDCA9C1" w:rsidR="00DA34F5" w:rsidRDefault="00EF3304" w:rsidP="00926C43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>O</w:t>
      </w:r>
      <w:r w:rsidR="00DA34F5">
        <w:rPr>
          <w:rFonts w:ascii="Garamond" w:eastAsia="Arial" w:hAnsi="Garamond" w:cstheme="minorHAnsi"/>
          <w:sz w:val="24"/>
          <w:szCs w:val="24"/>
        </w:rPr>
        <w:t xml:space="preserve"> </w:t>
      </w:r>
      <w:r w:rsidRPr="001B2852">
        <w:rPr>
          <w:rFonts w:ascii="Garamond" w:eastAsia="Arial" w:hAnsi="Garamond" w:cstheme="minorHAnsi"/>
          <w:sz w:val="24"/>
          <w:szCs w:val="24"/>
        </w:rPr>
        <w:t>Vereador</w:t>
      </w:r>
      <w:r w:rsidR="00DA34F5">
        <w:rPr>
          <w:rFonts w:ascii="Garamond" w:eastAsia="Arial" w:hAnsi="Garamond" w:cstheme="minorHAnsi"/>
          <w:sz w:val="24"/>
          <w:szCs w:val="24"/>
        </w:rPr>
        <w:t xml:space="preserve"> Ari Prestes de Oliveira, com acento na Câmara de Vereadores de Anchieta/SC, formulou o seguinte requerimento de parecer jurídico: </w:t>
      </w:r>
    </w:p>
    <w:p w14:paraId="39BA8ABA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  <w:b/>
          <w:bCs/>
        </w:rPr>
        <w:t>Pedido de Parecer Jurídico</w:t>
      </w:r>
    </w:p>
    <w:p w14:paraId="4468E0F5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  <w:b/>
          <w:bCs/>
        </w:rPr>
        <w:t>Assunto</w:t>
      </w:r>
      <w:r w:rsidRPr="00DA34F5">
        <w:rPr>
          <w:rFonts w:ascii="Garamond" w:eastAsia="Arial" w:hAnsi="Garamond" w:cstheme="minorHAnsi"/>
        </w:rPr>
        <w:t>: Projeto de Lei de Repasse de Equipamentos da Administração Pública em Ano Eleitoral e Desconhecimento de Edital para Chamada Pública.</w:t>
      </w:r>
    </w:p>
    <w:p w14:paraId="068ADEB7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  <w:b/>
          <w:bCs/>
        </w:rPr>
        <w:t>Solicitante</w:t>
      </w:r>
      <w:r w:rsidRPr="00DA34F5">
        <w:rPr>
          <w:rFonts w:ascii="Garamond" w:eastAsia="Arial" w:hAnsi="Garamond" w:cstheme="minorHAnsi"/>
        </w:rPr>
        <w:t>: Vereador Ari Prestes de Oliveira</w:t>
      </w:r>
    </w:p>
    <w:p w14:paraId="188EBF71" w14:textId="5E3372F1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  <w:b/>
          <w:bCs/>
        </w:rPr>
        <w:t>Data</w:t>
      </w:r>
      <w:r w:rsidRPr="00DA34F5">
        <w:rPr>
          <w:rFonts w:ascii="Garamond" w:eastAsia="Arial" w:hAnsi="Garamond" w:cstheme="minorHAnsi"/>
        </w:rPr>
        <w:t xml:space="preserve">: 26/09/2024                                                          </w:t>
      </w:r>
      <w:r w:rsidRPr="00DA34F5">
        <w:rPr>
          <w:rFonts w:ascii="Garamond" w:eastAsia="Arial" w:hAnsi="Garamond" w:cstheme="minorHAnsi"/>
          <w:b/>
          <w:bCs/>
        </w:rPr>
        <w:t>Projeto de lei n.061/24</w:t>
      </w:r>
    </w:p>
    <w:p w14:paraId="375304EE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pict w14:anchorId="016C7B15">
          <v:rect id="_x0000_i1031" style="width:441.9pt;height:1.5pt" o:hralign="center" o:hrstd="t" o:hr="t" fillcolor="#a0a0a0" stroked="f"/>
        </w:pict>
      </w:r>
    </w:p>
    <w:p w14:paraId="06F0DEC1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  <w:b/>
          <w:bCs/>
        </w:rPr>
        <w:t>I. Contextualização e Objeto do Pedido</w:t>
      </w:r>
    </w:p>
    <w:p w14:paraId="619E3FBE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O presente pedido de parecer jurídico tem como objetivo a análise de questões relativas à legalidade e regularidade de um projeto de lei que prevê o repasse de equipamentos públicos em ano eleitoral.</w:t>
      </w:r>
    </w:p>
    <w:p w14:paraId="0F004D9E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Especificamente, questiona-se:</w:t>
      </w:r>
    </w:p>
    <w:p w14:paraId="19AE67F7" w14:textId="77777777" w:rsidR="00DA34F5" w:rsidRPr="00DA34F5" w:rsidRDefault="00DA34F5" w:rsidP="00DA34F5">
      <w:pPr>
        <w:numPr>
          <w:ilvl w:val="0"/>
          <w:numId w:val="1"/>
        </w:numPr>
        <w:spacing w:before="120" w:after="120" w:line="240" w:lineRule="auto"/>
        <w:ind w:left="2268" w:firstLine="0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A viabilidade legal de realizar o repasse de bens e equipamentos da Administração Pública a terceiros em período eleitoral.</w:t>
      </w:r>
    </w:p>
    <w:p w14:paraId="52D71FBC" w14:textId="77777777" w:rsidR="00DA34F5" w:rsidRPr="00DA34F5" w:rsidRDefault="00DA34F5" w:rsidP="00DA34F5">
      <w:pPr>
        <w:numPr>
          <w:ilvl w:val="0"/>
          <w:numId w:val="1"/>
        </w:numPr>
        <w:spacing w:before="120" w:after="120" w:line="240" w:lineRule="auto"/>
        <w:ind w:left="2268" w:firstLine="0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A obrigatoriedade de realização de chamada pública, com edital devidamente publicado, para a seleção dos beneficiários desses equipamentos.</w:t>
      </w:r>
    </w:p>
    <w:p w14:paraId="21E94132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  <w:b/>
          <w:bCs/>
        </w:rPr>
        <w:t>II. Análise Jurídica</w:t>
      </w:r>
    </w:p>
    <w:p w14:paraId="0C76E319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  <w:b/>
          <w:bCs/>
        </w:rPr>
        <w:t>Repasse de Equipamentos Públicos em Ano Eleitoral</w:t>
      </w:r>
    </w:p>
    <w:p w14:paraId="47F2F7F2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O art. 73 da Lei n. 9.504/1997 (Lei das Eleições) estabelece uma série de vedações à Administração Pública no período eleitoral, exceto em casos específicos previstos em lei.</w:t>
      </w:r>
    </w:p>
    <w:p w14:paraId="4F1ECBCA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hyperlink r:id="rId6" w:history="1">
        <w:r w:rsidRPr="00DA34F5">
          <w:rPr>
            <w:rStyle w:val="Hyperlink"/>
            <w:rFonts w:ascii="Garamond" w:eastAsia="Arial" w:hAnsi="Garamond" w:cstheme="minorHAnsi"/>
            <w:color w:val="auto"/>
          </w:rPr>
          <w:t>Lei 14.435/22</w:t>
        </w:r>
      </w:hyperlink>
      <w:r w:rsidRPr="00DA34F5">
        <w:rPr>
          <w:rFonts w:ascii="Garamond" w:eastAsia="Arial" w:hAnsi="Garamond" w:cstheme="minorHAnsi"/>
        </w:rPr>
        <w:t xml:space="preserve">, que permite a doação onerosa de bens, valores e benefícios da administração pública a entidades privadas e públicas, mesmo no período eleitoral. </w:t>
      </w:r>
    </w:p>
    <w:p w14:paraId="6B7CEC28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lastRenderedPageBreak/>
        <w:t>Neste sentido, seria necessário verificar se o repasse dos equipamentos encontra amparo legal e se está isento da proibição imposta pelas referidas legislações, ou se configura distribuição de bens vedada em ano eleitoral.</w:t>
      </w:r>
    </w:p>
    <w:p w14:paraId="327CAA53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  <w:b/>
          <w:bCs/>
        </w:rPr>
        <w:t>III. Conclusão</w:t>
      </w:r>
    </w:p>
    <w:p w14:paraId="739F0C4A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Considerando o exposto, solicito-vos a verificação criteriosa quanto à:</w:t>
      </w:r>
    </w:p>
    <w:p w14:paraId="37A7606E" w14:textId="77777777" w:rsidR="00DA34F5" w:rsidRPr="00DA34F5" w:rsidRDefault="00DA34F5" w:rsidP="00DA34F5">
      <w:pPr>
        <w:numPr>
          <w:ilvl w:val="0"/>
          <w:numId w:val="2"/>
        </w:numPr>
        <w:spacing w:before="120" w:after="120" w:line="240" w:lineRule="auto"/>
        <w:ind w:left="2268" w:firstLine="0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 xml:space="preserve">Legalidade do repasse de equipamentos em período eleitoral, com observância das exceções previstas nas Leis. </w:t>
      </w:r>
    </w:p>
    <w:p w14:paraId="2B2B2505" w14:textId="77777777" w:rsidR="00DA34F5" w:rsidRPr="00DA34F5" w:rsidRDefault="00DA34F5" w:rsidP="00DA34F5">
      <w:pPr>
        <w:numPr>
          <w:ilvl w:val="0"/>
          <w:numId w:val="2"/>
        </w:numPr>
        <w:spacing w:before="120" w:after="120" w:line="240" w:lineRule="auto"/>
        <w:ind w:left="2268" w:firstLine="0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Prevenção de quaisquer atos que possam configurar irregularidades, seja em relação às normas eleitorais, seja em relação às regras de licitação e contratação pública.</w:t>
      </w:r>
    </w:p>
    <w:p w14:paraId="3137E81D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__________________________</w:t>
      </w:r>
    </w:p>
    <w:p w14:paraId="48D07C52" w14:textId="77777777" w:rsidR="00DA34F5" w:rsidRPr="00DA34F5" w:rsidRDefault="00DA34F5" w:rsidP="00DA34F5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DA34F5">
        <w:rPr>
          <w:rFonts w:ascii="Garamond" w:eastAsia="Arial" w:hAnsi="Garamond" w:cstheme="minorHAnsi"/>
        </w:rPr>
        <w:t>Ari prestes de Oliveira</w:t>
      </w:r>
    </w:p>
    <w:p w14:paraId="3045ADA9" w14:textId="77777777" w:rsidR="00DA34F5" w:rsidRDefault="00DA34F5" w:rsidP="00926C43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</w:p>
    <w:p w14:paraId="26A5FAD3" w14:textId="331672BD" w:rsidR="00926C43" w:rsidRPr="001B2852" w:rsidRDefault="00624BE3" w:rsidP="00926C43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color w:val="000000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Em consulta ao </w:t>
      </w:r>
      <w:r w:rsidR="00EF3304" w:rsidRPr="001B2852">
        <w:rPr>
          <w:rFonts w:ascii="Garamond" w:eastAsia="Arial" w:hAnsi="Garamond" w:cstheme="minorHAnsi"/>
          <w:sz w:val="24"/>
          <w:szCs w:val="24"/>
        </w:rPr>
        <w:t xml:space="preserve">Projeto de Lei </w:t>
      </w:r>
      <w:r w:rsidR="00CC6B26" w:rsidRPr="001B2852">
        <w:rPr>
          <w:rFonts w:ascii="Garamond" w:eastAsia="Arial" w:hAnsi="Garamond" w:cstheme="minorHAnsi"/>
          <w:sz w:val="24"/>
          <w:szCs w:val="24"/>
        </w:rPr>
        <w:t>Ordinári</w:t>
      </w:r>
      <w:r w:rsidR="007C1E6A">
        <w:rPr>
          <w:rFonts w:ascii="Garamond" w:eastAsia="Arial" w:hAnsi="Garamond" w:cstheme="minorHAnsi"/>
          <w:sz w:val="24"/>
          <w:szCs w:val="24"/>
        </w:rPr>
        <w:t>a</w:t>
      </w:r>
      <w:r w:rsidR="00CC6B26" w:rsidRPr="001B2852">
        <w:rPr>
          <w:rFonts w:ascii="Garamond" w:eastAsia="Arial" w:hAnsi="Garamond" w:cstheme="minorHAnsi"/>
          <w:sz w:val="24"/>
          <w:szCs w:val="24"/>
        </w:rPr>
        <w:t xml:space="preserve"> </w:t>
      </w:r>
      <w:r w:rsidR="00CB6264" w:rsidRPr="001B2852">
        <w:rPr>
          <w:rFonts w:ascii="Garamond" w:eastAsia="Arial" w:hAnsi="Garamond" w:cstheme="minorHAnsi"/>
          <w:sz w:val="24"/>
          <w:szCs w:val="24"/>
        </w:rPr>
        <w:t xml:space="preserve">nº </w:t>
      </w:r>
      <w:r w:rsidR="00CC6B26" w:rsidRPr="001B2852">
        <w:rPr>
          <w:rFonts w:ascii="Garamond" w:eastAsia="Arial" w:hAnsi="Garamond" w:cstheme="minorHAnsi"/>
          <w:sz w:val="24"/>
          <w:szCs w:val="24"/>
        </w:rPr>
        <w:t>61</w:t>
      </w:r>
      <w:r w:rsidR="00EF3304" w:rsidRPr="001B2852">
        <w:rPr>
          <w:rFonts w:ascii="Garamond" w:eastAsia="Arial" w:hAnsi="Garamond" w:cstheme="minorHAnsi"/>
          <w:sz w:val="24"/>
          <w:szCs w:val="24"/>
        </w:rPr>
        <w:t xml:space="preserve">/2024, </w:t>
      </w:r>
      <w:r w:rsidR="00DA34F5">
        <w:rPr>
          <w:rFonts w:ascii="Garamond" w:eastAsia="Arial" w:hAnsi="Garamond" w:cstheme="minorHAnsi"/>
          <w:sz w:val="24"/>
          <w:szCs w:val="24"/>
        </w:rPr>
        <w:t xml:space="preserve">publicado no </w:t>
      </w:r>
      <w:r w:rsidR="006F66D9">
        <w:rPr>
          <w:rFonts w:ascii="Garamond" w:eastAsia="Arial" w:hAnsi="Garamond" w:cstheme="minorHAnsi"/>
          <w:sz w:val="24"/>
          <w:szCs w:val="24"/>
        </w:rPr>
        <w:t xml:space="preserve">Sistema de Apoio ao Processo Legislativo – SAPL, extrai-se dele o pedido de autorização para o Chefe do Poder Executivo </w:t>
      </w:r>
      <w:r w:rsidR="00926C43" w:rsidRPr="001B2852">
        <w:rPr>
          <w:rFonts w:ascii="Garamond" w:hAnsi="Garamond"/>
          <w:sz w:val="24"/>
          <w:szCs w:val="24"/>
        </w:rPr>
        <w:t xml:space="preserve">ceder à Organização da Sociedade Civil, </w:t>
      </w:r>
      <w:r w:rsidR="00C53ABB" w:rsidRPr="001B2852">
        <w:rPr>
          <w:rFonts w:ascii="Garamond" w:hAnsi="Garamond"/>
          <w:sz w:val="24"/>
          <w:szCs w:val="24"/>
        </w:rPr>
        <w:t>pelo prazo de 05 (cinco) anos, a título gratuito, podendo ser prorrogado por igual período</w:t>
      </w:r>
      <w:r w:rsidR="00C53ABB">
        <w:rPr>
          <w:rFonts w:ascii="Garamond" w:hAnsi="Garamond"/>
          <w:sz w:val="24"/>
          <w:szCs w:val="24"/>
        </w:rPr>
        <w:t xml:space="preserve">, </w:t>
      </w:r>
      <w:r w:rsidR="00926C43" w:rsidRPr="001B2852">
        <w:rPr>
          <w:rFonts w:ascii="Garamond" w:hAnsi="Garamond"/>
          <w:sz w:val="24"/>
          <w:szCs w:val="24"/>
        </w:rPr>
        <w:t>para fomento da agricultura familiar e da atividade de pequenos agricultores, os bens do Município</w:t>
      </w:r>
      <w:r w:rsidR="00C53ABB">
        <w:rPr>
          <w:rFonts w:ascii="Garamond" w:eastAsia="Arial" w:hAnsi="Garamond" w:cstheme="minorHAnsi"/>
          <w:color w:val="000000"/>
          <w:sz w:val="24"/>
          <w:szCs w:val="24"/>
        </w:rPr>
        <w:t xml:space="preserve"> </w:t>
      </w:r>
      <w:r w:rsidR="007C1E6A">
        <w:rPr>
          <w:rFonts w:ascii="Garamond" w:eastAsia="Arial" w:hAnsi="Garamond" w:cstheme="minorHAnsi"/>
          <w:color w:val="000000"/>
          <w:sz w:val="24"/>
          <w:szCs w:val="24"/>
        </w:rPr>
        <w:t>e</w:t>
      </w:r>
      <w:r w:rsidR="00926C43" w:rsidRPr="001B2852">
        <w:rPr>
          <w:rFonts w:ascii="Garamond" w:eastAsia="Arial" w:hAnsi="Garamond" w:cstheme="minorHAnsi"/>
          <w:color w:val="000000"/>
          <w:sz w:val="24"/>
          <w:szCs w:val="24"/>
        </w:rPr>
        <w:t>specifica</w:t>
      </w:r>
      <w:r w:rsidR="007C1E6A">
        <w:rPr>
          <w:rFonts w:ascii="Garamond" w:eastAsia="Arial" w:hAnsi="Garamond" w:cstheme="minorHAnsi"/>
          <w:color w:val="000000"/>
          <w:sz w:val="24"/>
          <w:szCs w:val="24"/>
        </w:rPr>
        <w:t>dos</w:t>
      </w:r>
      <w:r w:rsidR="00C53ABB">
        <w:rPr>
          <w:rFonts w:ascii="Garamond" w:eastAsia="Arial" w:hAnsi="Garamond" w:cstheme="minorHAnsi"/>
          <w:color w:val="000000"/>
          <w:sz w:val="24"/>
          <w:szCs w:val="24"/>
        </w:rPr>
        <w:t xml:space="preserve"> </w:t>
      </w:r>
      <w:r w:rsidR="00926C43" w:rsidRPr="001B2852">
        <w:rPr>
          <w:rFonts w:ascii="Garamond" w:eastAsia="Arial" w:hAnsi="Garamond" w:cstheme="minorHAnsi"/>
          <w:color w:val="000000"/>
          <w:sz w:val="24"/>
          <w:szCs w:val="24"/>
        </w:rPr>
        <w:t xml:space="preserve">no projeto de </w:t>
      </w:r>
      <w:r w:rsidR="00C53ABB">
        <w:rPr>
          <w:rFonts w:ascii="Garamond" w:eastAsia="Arial" w:hAnsi="Garamond" w:cstheme="minorHAnsi"/>
          <w:color w:val="000000"/>
          <w:sz w:val="24"/>
          <w:szCs w:val="24"/>
        </w:rPr>
        <w:t>lei</w:t>
      </w:r>
      <w:r w:rsidR="00871D11">
        <w:rPr>
          <w:rFonts w:ascii="Garamond" w:eastAsia="Arial" w:hAnsi="Garamond" w:cstheme="minorHAnsi"/>
          <w:color w:val="000000"/>
          <w:sz w:val="24"/>
          <w:szCs w:val="24"/>
        </w:rPr>
        <w:t xml:space="preserve">, com entrada em 18/09/2024 e tramitação em regime de urgência. </w:t>
      </w:r>
    </w:p>
    <w:p w14:paraId="01C06B04" w14:textId="73C72001" w:rsidR="00871D11" w:rsidRDefault="006F66D9" w:rsidP="00FE23DF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O requerimento de </w:t>
      </w:r>
      <w:r w:rsidR="00FE23DF" w:rsidRPr="001B2852">
        <w:rPr>
          <w:rFonts w:ascii="Garamond" w:eastAsia="Arial" w:hAnsi="Garamond" w:cstheme="minorHAnsi"/>
          <w:sz w:val="24"/>
          <w:szCs w:val="24"/>
        </w:rPr>
        <w:t>parecer</w:t>
      </w:r>
      <w:r>
        <w:rPr>
          <w:rFonts w:ascii="Garamond" w:eastAsia="Arial" w:hAnsi="Garamond" w:cstheme="minorHAnsi"/>
          <w:sz w:val="24"/>
          <w:szCs w:val="24"/>
        </w:rPr>
        <w:t xml:space="preserve"> jurídico</w:t>
      </w:r>
      <w:r w:rsidR="00FE23DF" w:rsidRPr="001B2852">
        <w:rPr>
          <w:rFonts w:ascii="Garamond" w:eastAsia="Arial" w:hAnsi="Garamond" w:cstheme="minorHAnsi"/>
          <w:sz w:val="24"/>
          <w:szCs w:val="24"/>
        </w:rPr>
        <w:t xml:space="preserve"> </w:t>
      </w:r>
      <w:r>
        <w:rPr>
          <w:rFonts w:ascii="Garamond" w:eastAsia="Arial" w:hAnsi="Garamond" w:cstheme="minorHAnsi"/>
          <w:sz w:val="24"/>
          <w:szCs w:val="24"/>
        </w:rPr>
        <w:t xml:space="preserve">merece análise por parte do Advogado do Legislativo, o que o faz estritamente em confronto com a legislação já referida pelo requerente, </w:t>
      </w:r>
      <w:r w:rsidR="00871D11">
        <w:rPr>
          <w:rFonts w:ascii="Garamond" w:eastAsia="Arial" w:hAnsi="Garamond" w:cstheme="minorHAnsi"/>
          <w:sz w:val="24"/>
          <w:szCs w:val="24"/>
        </w:rPr>
        <w:t xml:space="preserve">eis que a tramitação em regime de urgência não permitirá a busca por outros elementos para além daqueles do requerimento que chegou ao Advogado do Legislativo às 15 horas e 10 min, com reunião plenária convocada para as 19 horas do mesmo dia. </w:t>
      </w:r>
    </w:p>
    <w:p w14:paraId="63497143" w14:textId="6581A71A" w:rsidR="00862476" w:rsidRDefault="00862476" w:rsidP="00862476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Em sede de cognição sumaríssima, </w:t>
      </w:r>
      <w:r w:rsidR="006F66D9">
        <w:rPr>
          <w:rFonts w:ascii="Garamond" w:eastAsia="Arial" w:hAnsi="Garamond" w:cstheme="minorHAnsi"/>
          <w:sz w:val="24"/>
          <w:szCs w:val="24"/>
        </w:rPr>
        <w:t xml:space="preserve">salvo melhor </w:t>
      </w:r>
      <w:r>
        <w:rPr>
          <w:rFonts w:ascii="Garamond" w:eastAsia="Arial" w:hAnsi="Garamond" w:cstheme="minorHAnsi"/>
          <w:sz w:val="24"/>
          <w:szCs w:val="24"/>
        </w:rPr>
        <w:t>juízo, não</w:t>
      </w:r>
      <w:r w:rsidR="006F66D9">
        <w:rPr>
          <w:rFonts w:ascii="Garamond" w:eastAsia="Arial" w:hAnsi="Garamond" w:cstheme="minorHAnsi"/>
          <w:sz w:val="24"/>
          <w:szCs w:val="24"/>
        </w:rPr>
        <w:t xml:space="preserve"> se verifica existência de outras questões pertinentes ao processo legislativo, eis que </w:t>
      </w:r>
      <w:r>
        <w:rPr>
          <w:rFonts w:ascii="Garamond" w:eastAsia="Arial" w:hAnsi="Garamond" w:cstheme="minorHAnsi"/>
          <w:sz w:val="24"/>
          <w:szCs w:val="24"/>
        </w:rPr>
        <w:t>não apresenta vício de iniciativa ou outra anomalia que possa invalidar o process</w:t>
      </w:r>
      <w:r w:rsidR="00C65EA4">
        <w:rPr>
          <w:rFonts w:ascii="Garamond" w:eastAsia="Arial" w:hAnsi="Garamond" w:cstheme="minorHAnsi"/>
          <w:sz w:val="24"/>
          <w:szCs w:val="24"/>
        </w:rPr>
        <w:t>o legislativo</w:t>
      </w:r>
      <w:r>
        <w:rPr>
          <w:rFonts w:ascii="Garamond" w:eastAsia="Arial" w:hAnsi="Garamond" w:cstheme="minorHAnsi"/>
          <w:sz w:val="24"/>
          <w:szCs w:val="24"/>
        </w:rPr>
        <w:t xml:space="preserve">. </w:t>
      </w:r>
    </w:p>
    <w:p w14:paraId="662DEA74" w14:textId="77777777" w:rsidR="00E66A57" w:rsidRPr="001B2852" w:rsidRDefault="00E66A57" w:rsidP="00EF3304">
      <w:pPr>
        <w:spacing w:before="120" w:after="120" w:line="360" w:lineRule="auto"/>
        <w:jc w:val="both"/>
        <w:rPr>
          <w:rFonts w:ascii="Garamond" w:eastAsia="Arial" w:hAnsi="Garamond" w:cstheme="minorHAnsi"/>
          <w:b/>
          <w:color w:val="000000"/>
          <w:sz w:val="24"/>
          <w:szCs w:val="24"/>
        </w:rPr>
      </w:pPr>
    </w:p>
    <w:p w14:paraId="28C4E286" w14:textId="7F3C8869" w:rsidR="00EF3304" w:rsidRPr="001B2852" w:rsidRDefault="00EF3304" w:rsidP="00EF3304">
      <w:pPr>
        <w:spacing w:before="120" w:after="120" w:line="360" w:lineRule="auto"/>
        <w:jc w:val="both"/>
        <w:rPr>
          <w:rFonts w:ascii="Garamond" w:eastAsia="Arial" w:hAnsi="Garamond" w:cstheme="minorHAnsi"/>
          <w:b/>
          <w:color w:val="000000"/>
          <w:sz w:val="24"/>
          <w:szCs w:val="24"/>
        </w:rPr>
      </w:pPr>
      <w:r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>2.  D</w:t>
      </w:r>
      <w:r w:rsidR="00E75C29"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>A DELIMIT</w:t>
      </w:r>
      <w:r w:rsidR="007C1E6A">
        <w:rPr>
          <w:rFonts w:ascii="Garamond" w:eastAsia="Arial" w:hAnsi="Garamond" w:cstheme="minorHAnsi"/>
          <w:b/>
          <w:color w:val="000000"/>
          <w:sz w:val="24"/>
          <w:szCs w:val="24"/>
        </w:rPr>
        <w:t>A</w:t>
      </w:r>
      <w:r w:rsidR="00E75C29"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 xml:space="preserve">ÇÃO </w:t>
      </w:r>
      <w:r w:rsidR="00C53ABB">
        <w:rPr>
          <w:rFonts w:ascii="Garamond" w:eastAsia="Arial" w:hAnsi="Garamond" w:cstheme="minorHAnsi"/>
          <w:b/>
          <w:color w:val="000000"/>
          <w:sz w:val="24"/>
          <w:szCs w:val="24"/>
        </w:rPr>
        <w:t>DE COMPETÊNC</w:t>
      </w:r>
      <w:r w:rsidR="007C1E6A">
        <w:rPr>
          <w:rFonts w:ascii="Garamond" w:eastAsia="Arial" w:hAnsi="Garamond" w:cstheme="minorHAnsi"/>
          <w:b/>
          <w:color w:val="000000"/>
          <w:sz w:val="24"/>
          <w:szCs w:val="24"/>
        </w:rPr>
        <w:t>I</w:t>
      </w:r>
      <w:r w:rsidR="00C53ABB">
        <w:rPr>
          <w:rFonts w:ascii="Garamond" w:eastAsia="Arial" w:hAnsi="Garamond" w:cstheme="minorHAnsi"/>
          <w:b/>
          <w:color w:val="000000"/>
          <w:sz w:val="24"/>
          <w:szCs w:val="24"/>
        </w:rPr>
        <w:t xml:space="preserve">A </w:t>
      </w:r>
      <w:r w:rsidR="00E75C29"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 xml:space="preserve"> </w:t>
      </w:r>
      <w:r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 xml:space="preserve"> </w:t>
      </w:r>
    </w:p>
    <w:p w14:paraId="5A4DEEC3" w14:textId="77777777" w:rsidR="005A0279" w:rsidRDefault="005A0279" w:rsidP="00C65EA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</w:p>
    <w:p w14:paraId="55025983" w14:textId="7547B093" w:rsidR="00C65EA4" w:rsidRPr="001D093C" w:rsidRDefault="00B57E1B" w:rsidP="00C65EA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D093C">
        <w:rPr>
          <w:rFonts w:ascii="Garamond" w:eastAsia="Arial" w:hAnsi="Garamond" w:cstheme="minorHAnsi"/>
          <w:sz w:val="24"/>
          <w:szCs w:val="24"/>
        </w:rPr>
        <w:t>O</w:t>
      </w:r>
      <w:r w:rsidR="00C53ABB" w:rsidRPr="001D093C">
        <w:rPr>
          <w:rFonts w:ascii="Garamond" w:eastAsia="Arial" w:hAnsi="Garamond" w:cstheme="minorHAnsi"/>
          <w:sz w:val="24"/>
          <w:szCs w:val="24"/>
        </w:rPr>
        <w:t xml:space="preserve"> Advogado do Legislativo deixa de responde</w:t>
      </w:r>
      <w:r w:rsidRPr="001D093C">
        <w:rPr>
          <w:rFonts w:ascii="Garamond" w:eastAsia="Arial" w:hAnsi="Garamond" w:cstheme="minorHAnsi"/>
          <w:sz w:val="24"/>
          <w:szCs w:val="24"/>
        </w:rPr>
        <w:t>r</w:t>
      </w:r>
      <w:r w:rsidR="00C53ABB" w:rsidRPr="001D093C">
        <w:rPr>
          <w:rFonts w:ascii="Garamond" w:eastAsia="Arial" w:hAnsi="Garamond" w:cstheme="minorHAnsi"/>
          <w:sz w:val="24"/>
          <w:szCs w:val="24"/>
        </w:rPr>
        <w:t xml:space="preserve"> ao</w:t>
      </w:r>
      <w:r w:rsidR="00C65EA4" w:rsidRPr="001D093C">
        <w:rPr>
          <w:rFonts w:ascii="Garamond" w:eastAsia="Arial" w:hAnsi="Garamond" w:cstheme="minorHAnsi"/>
          <w:sz w:val="24"/>
          <w:szCs w:val="24"/>
        </w:rPr>
        <w:t xml:space="preserve"> segundo </w:t>
      </w:r>
      <w:r w:rsidR="00CB6264" w:rsidRPr="001D093C">
        <w:rPr>
          <w:rFonts w:ascii="Garamond" w:eastAsia="Arial" w:hAnsi="Garamond" w:cstheme="minorHAnsi"/>
          <w:sz w:val="24"/>
          <w:szCs w:val="24"/>
        </w:rPr>
        <w:t>quesi</w:t>
      </w:r>
      <w:r w:rsidR="00C53ABB" w:rsidRPr="001D093C">
        <w:rPr>
          <w:rFonts w:ascii="Garamond" w:eastAsia="Arial" w:hAnsi="Garamond" w:cstheme="minorHAnsi"/>
          <w:sz w:val="24"/>
          <w:szCs w:val="24"/>
        </w:rPr>
        <w:t>to</w:t>
      </w:r>
      <w:r w:rsidR="001D093C" w:rsidRPr="001D093C">
        <w:rPr>
          <w:rFonts w:ascii="Garamond" w:eastAsia="Arial" w:hAnsi="Garamond" w:cstheme="minorHAnsi"/>
          <w:sz w:val="24"/>
          <w:szCs w:val="24"/>
        </w:rPr>
        <w:t>,</w:t>
      </w:r>
      <w:r w:rsidR="00C65EA4" w:rsidRPr="001D093C">
        <w:rPr>
          <w:rFonts w:ascii="Garamond" w:eastAsia="Arial" w:hAnsi="Garamond" w:cstheme="minorHAnsi"/>
          <w:sz w:val="24"/>
          <w:szCs w:val="24"/>
        </w:rPr>
        <w:t xml:space="preserve"> por </w:t>
      </w:r>
      <w:r w:rsidR="001D093C" w:rsidRPr="001D093C">
        <w:rPr>
          <w:rFonts w:ascii="Garamond" w:eastAsia="Arial" w:hAnsi="Garamond" w:cstheme="minorHAnsi"/>
          <w:sz w:val="24"/>
          <w:szCs w:val="24"/>
        </w:rPr>
        <w:t xml:space="preserve">absoluta incompetência desse órgão parecerista estabelecer medidas de prevenção de atos </w:t>
      </w:r>
      <w:r w:rsidR="001D093C" w:rsidRPr="00DA34F5">
        <w:rPr>
          <w:rFonts w:ascii="Garamond" w:eastAsia="Arial" w:hAnsi="Garamond" w:cstheme="minorHAnsi"/>
          <w:sz w:val="24"/>
          <w:szCs w:val="24"/>
        </w:rPr>
        <w:t>que possam configurar irregularidades, seja em relação às normas eleitorais, seja em relação às regras de licitação e contratação pública</w:t>
      </w:r>
      <w:r w:rsidR="001D093C" w:rsidRPr="001D093C">
        <w:rPr>
          <w:rFonts w:ascii="Garamond" w:eastAsia="Arial" w:hAnsi="Garamond" w:cstheme="minorHAnsi"/>
          <w:sz w:val="24"/>
          <w:szCs w:val="24"/>
        </w:rPr>
        <w:t xml:space="preserve">. </w:t>
      </w:r>
    </w:p>
    <w:p w14:paraId="44637442" w14:textId="77777777" w:rsidR="001D093C" w:rsidRDefault="001D093C" w:rsidP="001D093C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D093C">
        <w:rPr>
          <w:rFonts w:ascii="Garamond" w:eastAsia="Arial" w:hAnsi="Garamond" w:cstheme="minorHAnsi"/>
          <w:sz w:val="24"/>
          <w:szCs w:val="24"/>
        </w:rPr>
        <w:t xml:space="preserve">Ao jurídico do legislativo compete, em sede de prevenção, apenas o controle prévio de constitucionalidade e legalidade das proposições. É impossível, nessa fase do processo legislativo, </w:t>
      </w:r>
      <w:r w:rsidRPr="001D093C">
        <w:rPr>
          <w:rFonts w:ascii="Garamond" w:eastAsia="Arial" w:hAnsi="Garamond" w:cstheme="minorHAnsi"/>
          <w:sz w:val="24"/>
          <w:szCs w:val="24"/>
        </w:rPr>
        <w:lastRenderedPageBreak/>
        <w:t>a emissão de parecer sobre atos ainda não materializados</w:t>
      </w:r>
      <w:r>
        <w:rPr>
          <w:rFonts w:ascii="Garamond" w:eastAsia="Arial" w:hAnsi="Garamond" w:cstheme="minorHAnsi"/>
        </w:rPr>
        <w:t xml:space="preserve">, </w:t>
      </w:r>
      <w:r w:rsidRPr="00194F91">
        <w:rPr>
          <w:rFonts w:ascii="Garamond" w:eastAsia="Arial" w:hAnsi="Garamond" w:cstheme="minorHAnsi"/>
          <w:sz w:val="24"/>
          <w:szCs w:val="24"/>
        </w:rPr>
        <w:t xml:space="preserve">como o </w:t>
      </w:r>
      <w:r w:rsidRPr="00194F91">
        <w:rPr>
          <w:rFonts w:ascii="Garamond" w:hAnsi="Garamond"/>
          <w:sz w:val="24"/>
          <w:szCs w:val="24"/>
        </w:rPr>
        <w:t xml:space="preserve">Acordo de Cooperação e chamamento público </w:t>
      </w:r>
      <w:r w:rsidRPr="00194F91">
        <w:rPr>
          <w:rFonts w:ascii="Garamond" w:eastAsia="Arial" w:hAnsi="Garamond" w:cstheme="minorHAnsi"/>
          <w:sz w:val="24"/>
          <w:szCs w:val="24"/>
        </w:rPr>
        <w:t>referidos no Art. 2º do projeto de lei e</w:t>
      </w:r>
      <w:r>
        <w:rPr>
          <w:rFonts w:ascii="Garamond" w:eastAsia="Arial" w:hAnsi="Garamond" w:cstheme="minorHAnsi"/>
          <w:sz w:val="24"/>
          <w:szCs w:val="24"/>
        </w:rPr>
        <w:t xml:space="preserve">m questão. </w:t>
      </w:r>
    </w:p>
    <w:p w14:paraId="25E64AB5" w14:textId="504A167C" w:rsidR="001D093C" w:rsidRDefault="001D093C" w:rsidP="00C65EA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</w:rPr>
        <w:t xml:space="preserve"> Obviamente que se teria maior clareza e segurança para os vereadores decidirem a matéria se anexo ao projeto tivesse a minuta do</w:t>
      </w:r>
      <w:r w:rsidR="00E66A57">
        <w:rPr>
          <w:rFonts w:ascii="Garamond" w:eastAsia="Arial" w:hAnsi="Garamond" w:cstheme="minorHAnsi"/>
        </w:rPr>
        <w:t xml:space="preserve"> edital do</w:t>
      </w:r>
      <w:r>
        <w:rPr>
          <w:rFonts w:ascii="Garamond" w:eastAsia="Arial" w:hAnsi="Garamond" w:cstheme="minorHAnsi"/>
        </w:rPr>
        <w:t xml:space="preserve"> chamamento público</w:t>
      </w:r>
      <w:r w:rsidR="00E66A57">
        <w:rPr>
          <w:rFonts w:ascii="Garamond" w:eastAsia="Arial" w:hAnsi="Garamond" w:cstheme="minorHAnsi"/>
        </w:rPr>
        <w:t xml:space="preserve"> e </w:t>
      </w:r>
      <w:r w:rsidR="00E66A57" w:rsidRPr="00194F91">
        <w:rPr>
          <w:rFonts w:ascii="Garamond" w:hAnsi="Garamond"/>
          <w:sz w:val="24"/>
          <w:szCs w:val="24"/>
        </w:rPr>
        <w:t xml:space="preserve">Acordo de </w:t>
      </w:r>
      <w:r w:rsidR="00E66A57" w:rsidRPr="00194F91">
        <w:rPr>
          <w:rFonts w:ascii="Garamond" w:hAnsi="Garamond"/>
          <w:sz w:val="24"/>
          <w:szCs w:val="24"/>
        </w:rPr>
        <w:t>Cooperação,</w:t>
      </w:r>
      <w:r w:rsidR="00E66A57">
        <w:rPr>
          <w:rFonts w:ascii="Garamond" w:hAnsi="Garamond"/>
          <w:sz w:val="24"/>
          <w:szCs w:val="24"/>
        </w:rPr>
        <w:t xml:space="preserve"> m</w:t>
      </w:r>
      <w:r w:rsidR="00E66A57">
        <w:rPr>
          <w:rFonts w:ascii="Garamond" w:eastAsia="Arial" w:hAnsi="Garamond" w:cstheme="minorHAnsi"/>
        </w:rPr>
        <w:t xml:space="preserve">as, </w:t>
      </w:r>
      <w:r w:rsidR="00E66A57" w:rsidRPr="00E66A57">
        <w:rPr>
          <w:rFonts w:ascii="Garamond" w:eastAsia="Arial" w:hAnsi="Garamond" w:cstheme="minorHAnsi"/>
          <w:sz w:val="24"/>
          <w:szCs w:val="24"/>
        </w:rPr>
        <w:t>sem a materialização desses instrumentos, nada se pode opinar nesse momento</w:t>
      </w:r>
      <w:r w:rsidR="00E66A57">
        <w:rPr>
          <w:rFonts w:ascii="Garamond" w:eastAsia="Arial" w:hAnsi="Garamond" w:cstheme="minorHAnsi"/>
          <w:sz w:val="24"/>
          <w:szCs w:val="24"/>
        </w:rPr>
        <w:t xml:space="preserve">, o que não prejudica a análise pelos edis quando da publicação dor referidos atos. </w:t>
      </w:r>
    </w:p>
    <w:p w14:paraId="6B24DC3E" w14:textId="0DDA86E1" w:rsidR="00A42470" w:rsidRDefault="00E66A57" w:rsidP="005D2DDC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>Ainda, por não estar n</w:t>
      </w:r>
      <w:r w:rsidR="00B57E1B">
        <w:rPr>
          <w:rFonts w:ascii="Garamond" w:eastAsia="Arial" w:hAnsi="Garamond" w:cstheme="minorHAnsi"/>
          <w:sz w:val="24"/>
          <w:szCs w:val="24"/>
        </w:rPr>
        <w:t xml:space="preserve">a competência funcional </w:t>
      </w:r>
      <w:r>
        <w:rPr>
          <w:rFonts w:ascii="Garamond" w:eastAsia="Arial" w:hAnsi="Garamond" w:cstheme="minorHAnsi"/>
          <w:sz w:val="24"/>
          <w:szCs w:val="24"/>
        </w:rPr>
        <w:t xml:space="preserve">do Advogado do Legislativo a fiscalização formal do processo eleitoral, eventuais </w:t>
      </w:r>
      <w:r w:rsidR="00B57E1B" w:rsidRPr="001B2852">
        <w:rPr>
          <w:rFonts w:ascii="Garamond" w:eastAsia="Arial" w:hAnsi="Garamond" w:cstheme="minorHAnsi"/>
          <w:sz w:val="24"/>
          <w:szCs w:val="24"/>
        </w:rPr>
        <w:t>condutas vedadas a candidatos em campanha</w:t>
      </w:r>
      <w:r>
        <w:rPr>
          <w:rFonts w:ascii="Garamond" w:eastAsia="Arial" w:hAnsi="Garamond" w:cstheme="minorHAnsi"/>
          <w:sz w:val="24"/>
          <w:szCs w:val="24"/>
        </w:rPr>
        <w:t xml:space="preserve"> devem ser comunicadas ao Ministério Público Eleitoral</w:t>
      </w:r>
      <w:r w:rsidR="00B57E1B">
        <w:rPr>
          <w:rFonts w:ascii="Garamond" w:eastAsia="Arial" w:hAnsi="Garamond" w:cstheme="minorHAnsi"/>
          <w:sz w:val="24"/>
          <w:szCs w:val="24"/>
        </w:rPr>
        <w:t>.</w:t>
      </w:r>
    </w:p>
    <w:p w14:paraId="3B88809A" w14:textId="324192D4" w:rsidR="00A42470" w:rsidRDefault="00E66A57" w:rsidP="00A42470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Por fim, </w:t>
      </w:r>
      <w:r w:rsidR="00A42470" w:rsidRPr="001B2852">
        <w:rPr>
          <w:rFonts w:ascii="Garamond" w:eastAsia="Arial" w:hAnsi="Garamond" w:cstheme="minorHAnsi"/>
          <w:sz w:val="24"/>
          <w:szCs w:val="24"/>
        </w:rPr>
        <w:t>considerações de ordem política, pessoal e de outras áreas técnicas</w:t>
      </w:r>
      <w:r>
        <w:rPr>
          <w:rFonts w:ascii="Garamond" w:eastAsia="Arial" w:hAnsi="Garamond" w:cstheme="minorHAnsi"/>
          <w:sz w:val="24"/>
          <w:szCs w:val="24"/>
        </w:rPr>
        <w:t xml:space="preserve">, obviamente, </w:t>
      </w:r>
      <w:r w:rsidR="00A42470" w:rsidRPr="001B2852">
        <w:rPr>
          <w:rFonts w:ascii="Garamond" w:eastAsia="Arial" w:hAnsi="Garamond" w:cstheme="minorHAnsi"/>
          <w:sz w:val="24"/>
          <w:szCs w:val="24"/>
        </w:rPr>
        <w:t xml:space="preserve">não </w:t>
      </w:r>
      <w:r>
        <w:rPr>
          <w:rFonts w:ascii="Garamond" w:eastAsia="Arial" w:hAnsi="Garamond" w:cstheme="minorHAnsi"/>
          <w:sz w:val="24"/>
          <w:szCs w:val="24"/>
        </w:rPr>
        <w:t xml:space="preserve">serão enfrentadas nesse parecer. </w:t>
      </w:r>
      <w:r w:rsidR="00A42470">
        <w:rPr>
          <w:rFonts w:ascii="Garamond" w:eastAsia="Arial" w:hAnsi="Garamond" w:cstheme="minorHAnsi"/>
          <w:sz w:val="24"/>
          <w:szCs w:val="24"/>
        </w:rPr>
        <w:t xml:space="preserve"> </w:t>
      </w:r>
    </w:p>
    <w:p w14:paraId="7E21C0D2" w14:textId="77777777" w:rsidR="00E2782F" w:rsidRDefault="00E2782F" w:rsidP="00EF3304">
      <w:pPr>
        <w:spacing w:before="120" w:after="120" w:line="360" w:lineRule="auto"/>
        <w:jc w:val="both"/>
        <w:rPr>
          <w:rFonts w:ascii="Garamond" w:eastAsia="Arial" w:hAnsi="Garamond" w:cstheme="minorHAnsi"/>
          <w:color w:val="000000"/>
          <w:sz w:val="24"/>
          <w:szCs w:val="24"/>
        </w:rPr>
      </w:pPr>
    </w:p>
    <w:p w14:paraId="6D8ACA5A" w14:textId="64A08BD8" w:rsidR="00EF3304" w:rsidRPr="001B2852" w:rsidRDefault="00EF3304" w:rsidP="00EF3304">
      <w:pPr>
        <w:spacing w:before="120" w:after="120" w:line="360" w:lineRule="auto"/>
        <w:jc w:val="both"/>
        <w:rPr>
          <w:rFonts w:ascii="Garamond" w:eastAsia="Arial" w:hAnsi="Garamond" w:cstheme="minorHAnsi"/>
          <w:b/>
          <w:color w:val="000000"/>
          <w:sz w:val="24"/>
          <w:szCs w:val="24"/>
        </w:rPr>
      </w:pPr>
      <w:r w:rsidRPr="001B2852">
        <w:rPr>
          <w:rFonts w:ascii="Garamond" w:eastAsia="Arial" w:hAnsi="Garamond" w:cstheme="minorHAnsi"/>
          <w:color w:val="000000"/>
          <w:sz w:val="24"/>
          <w:szCs w:val="24"/>
        </w:rPr>
        <w:t xml:space="preserve">3. </w:t>
      </w:r>
      <w:r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>DA MATÉRIA EM TRAMITAÇÃO</w:t>
      </w:r>
    </w:p>
    <w:p w14:paraId="3C0C7559" w14:textId="77777777" w:rsidR="005A0279" w:rsidRDefault="00EF3304" w:rsidP="00194F91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b/>
          <w:color w:val="000000"/>
          <w:sz w:val="24"/>
          <w:szCs w:val="24"/>
        </w:rPr>
      </w:pPr>
      <w:r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 xml:space="preserve"> </w:t>
      </w:r>
    </w:p>
    <w:p w14:paraId="1FA7D1EF" w14:textId="7ACD9650" w:rsidR="00194F91" w:rsidRDefault="00962EAE" w:rsidP="00194F91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Passando a responder ao quesito 1 </w:t>
      </w:r>
      <w:r w:rsidR="004B7813">
        <w:rPr>
          <w:rFonts w:ascii="Garamond" w:eastAsia="Arial" w:hAnsi="Garamond" w:cstheme="minorHAnsi"/>
          <w:sz w:val="24"/>
          <w:szCs w:val="24"/>
        </w:rPr>
        <w:t>requerimento de parecer sobre a legalidade da proposta em ano eleitoral, segue análise da matéria frente a</w:t>
      </w:r>
      <w:r>
        <w:rPr>
          <w:rFonts w:ascii="Garamond" w:eastAsia="Arial" w:hAnsi="Garamond" w:cstheme="minorHAnsi"/>
          <w:sz w:val="24"/>
          <w:szCs w:val="24"/>
        </w:rPr>
        <w:t xml:space="preserve">s leis referidas pelo requerente. </w:t>
      </w:r>
    </w:p>
    <w:p w14:paraId="100A4CCB" w14:textId="77777777" w:rsidR="00962EAE" w:rsidRDefault="00962EAE" w:rsidP="00962EAE">
      <w:pPr>
        <w:spacing w:before="120" w:after="120" w:line="360" w:lineRule="auto"/>
        <w:jc w:val="both"/>
        <w:rPr>
          <w:rFonts w:ascii="Garamond" w:eastAsia="Arial" w:hAnsi="Garamond" w:cstheme="minorHAnsi"/>
          <w:sz w:val="24"/>
          <w:szCs w:val="24"/>
        </w:rPr>
      </w:pPr>
    </w:p>
    <w:p w14:paraId="451E3BCE" w14:textId="3CFB32D7" w:rsidR="00962EAE" w:rsidRDefault="00962EAE" w:rsidP="00962EAE">
      <w:pPr>
        <w:spacing w:before="120" w:after="120" w:line="360" w:lineRule="auto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>3.1 DA LEI nº 14.435/2022</w:t>
      </w:r>
    </w:p>
    <w:p w14:paraId="16260DEC" w14:textId="79D1FFBF" w:rsidR="00962EAE" w:rsidRDefault="00962EAE" w:rsidP="00962EAE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Trata-se de lei que inclui o Art. </w:t>
      </w:r>
      <w:r w:rsidR="005C0C23">
        <w:rPr>
          <w:rFonts w:ascii="Garamond" w:eastAsia="Arial" w:hAnsi="Garamond" w:cstheme="minorHAnsi"/>
          <w:sz w:val="24"/>
          <w:szCs w:val="24"/>
        </w:rPr>
        <w:t>81-A, n</w:t>
      </w:r>
      <w:r>
        <w:rPr>
          <w:rFonts w:ascii="Garamond" w:eastAsia="Arial" w:hAnsi="Garamond" w:cstheme="minorHAnsi"/>
          <w:sz w:val="24"/>
          <w:szCs w:val="24"/>
        </w:rPr>
        <w:t xml:space="preserve">a Lei </w:t>
      </w:r>
      <w:r w:rsidR="005C0C23" w:rsidRPr="005C0C23">
        <w:rPr>
          <w:rFonts w:ascii="Garamond" w:eastAsia="Arial" w:hAnsi="Garamond" w:cstheme="minorHAnsi"/>
          <w:sz w:val="24"/>
          <w:szCs w:val="24"/>
        </w:rPr>
        <w:t>nº 14.194, de 20 de agosto de 2021, que dispõe sobre as diretrizes para a elaboração e a execução da Lei Orçamentária de 2022</w:t>
      </w:r>
      <w:r w:rsidR="005C0C23">
        <w:rPr>
          <w:rFonts w:ascii="Garamond" w:eastAsia="Arial" w:hAnsi="Garamond" w:cstheme="minorHAnsi"/>
          <w:sz w:val="24"/>
          <w:szCs w:val="24"/>
        </w:rPr>
        <w:t>, com a seguinte redação:</w:t>
      </w:r>
    </w:p>
    <w:p w14:paraId="0080CEA9" w14:textId="77777777" w:rsidR="005C0C23" w:rsidRPr="005A0279" w:rsidRDefault="005C0C23" w:rsidP="009E2674">
      <w:pPr>
        <w:spacing w:before="120" w:after="120" w:line="240" w:lineRule="auto"/>
        <w:ind w:left="2268"/>
        <w:jc w:val="both"/>
        <w:rPr>
          <w:rFonts w:ascii="Garamond" w:eastAsia="Arial" w:hAnsi="Garamond" w:cstheme="minorHAnsi"/>
        </w:rPr>
      </w:pPr>
      <w:r w:rsidRPr="005A0279">
        <w:rPr>
          <w:rFonts w:ascii="Garamond" w:eastAsia="Arial" w:hAnsi="Garamond" w:cstheme="minorHAnsi"/>
        </w:rPr>
        <w:t xml:space="preserve">Art. 81-A </w:t>
      </w:r>
      <w:r w:rsidRPr="005A0279">
        <w:rPr>
          <w:rFonts w:ascii="Garamond" w:eastAsia="Arial" w:hAnsi="Garamond" w:cstheme="minorHAnsi"/>
        </w:rPr>
        <w:t xml:space="preserve">A doação de bens, valores ou benefícios por parte da Administração Pública a entidades privadas e públicas, durante todo o ano, e desde que com encargo para o donatário, não se configura em descumprimento do §10 do artigo 73, da Lei nº 9.507 de 30 de setembro de 1997. </w:t>
      </w:r>
    </w:p>
    <w:p w14:paraId="2384F7DE" w14:textId="6884E6FC" w:rsidR="005C0C23" w:rsidRDefault="005C0C23" w:rsidP="00962EAE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</w:p>
    <w:p w14:paraId="0F5C22AD" w14:textId="231CD6D0" w:rsidR="009E2674" w:rsidRDefault="009E2674" w:rsidP="009E267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>Talvez o questionamento do Vereador veio em razão da parte final do dispositivo citado “</w:t>
      </w:r>
      <w:r w:rsidRPr="00962EAE">
        <w:rPr>
          <w:rFonts w:ascii="Garamond" w:eastAsia="Arial" w:hAnsi="Garamond" w:cstheme="minorHAnsi"/>
          <w:sz w:val="24"/>
          <w:szCs w:val="24"/>
        </w:rPr>
        <w:t>não se configura em descumprimento d</w:t>
      </w:r>
      <w:r>
        <w:rPr>
          <w:rFonts w:ascii="Garamond" w:eastAsia="Arial" w:hAnsi="Garamond" w:cstheme="minorHAnsi"/>
          <w:sz w:val="24"/>
          <w:szCs w:val="24"/>
        </w:rPr>
        <w:t>o §</w:t>
      </w:r>
      <w:r w:rsidRPr="001B2852">
        <w:rPr>
          <w:rFonts w:ascii="Garamond" w:eastAsia="Arial" w:hAnsi="Garamond" w:cstheme="minorHAnsi"/>
          <w:sz w:val="24"/>
          <w:szCs w:val="24"/>
        </w:rPr>
        <w:t>10 do artigo 73</w:t>
      </w:r>
      <w:r>
        <w:rPr>
          <w:rFonts w:ascii="Garamond" w:eastAsia="Arial" w:hAnsi="Garamond" w:cstheme="minorHAnsi"/>
          <w:sz w:val="24"/>
          <w:szCs w:val="24"/>
        </w:rPr>
        <w:t xml:space="preserve">, da </w:t>
      </w:r>
      <w:r w:rsidRPr="001B2852">
        <w:rPr>
          <w:rFonts w:ascii="Garamond" w:eastAsia="Arial" w:hAnsi="Garamond" w:cstheme="minorHAnsi"/>
          <w:sz w:val="24"/>
          <w:szCs w:val="24"/>
        </w:rPr>
        <w:t>Lei nº 9.507</w:t>
      </w:r>
      <w:r>
        <w:rPr>
          <w:rFonts w:ascii="Garamond" w:eastAsia="Arial" w:hAnsi="Garamond" w:cstheme="minorHAnsi"/>
          <w:sz w:val="24"/>
          <w:szCs w:val="24"/>
        </w:rPr>
        <w:t xml:space="preserve"> de 30 de setembro de 1997</w:t>
      </w:r>
      <w:r>
        <w:rPr>
          <w:rFonts w:ascii="Garamond" w:eastAsia="Arial" w:hAnsi="Garamond" w:cstheme="minorHAnsi"/>
          <w:sz w:val="24"/>
          <w:szCs w:val="24"/>
        </w:rPr>
        <w:t>”</w:t>
      </w:r>
      <w:r>
        <w:rPr>
          <w:rFonts w:ascii="Garamond" w:eastAsia="Arial" w:hAnsi="Garamond" w:cstheme="minorHAnsi"/>
          <w:sz w:val="24"/>
          <w:szCs w:val="24"/>
        </w:rPr>
        <w:t xml:space="preserve">. </w:t>
      </w:r>
      <w:r>
        <w:rPr>
          <w:rFonts w:ascii="Garamond" w:eastAsia="Arial" w:hAnsi="Garamond" w:cstheme="minorHAnsi"/>
          <w:sz w:val="24"/>
          <w:szCs w:val="24"/>
        </w:rPr>
        <w:t>Mas</w:t>
      </w:r>
      <w:r w:rsidR="00CD444C">
        <w:rPr>
          <w:rFonts w:ascii="Garamond" w:eastAsia="Arial" w:hAnsi="Garamond" w:cstheme="minorHAnsi"/>
          <w:sz w:val="24"/>
          <w:szCs w:val="24"/>
        </w:rPr>
        <w:t xml:space="preserve">, asseguro, o referido dispositivo de lei não tem pertinência à matéria do Projeto de Lei nº 61/2024, pelas seguintes razões: </w:t>
      </w:r>
    </w:p>
    <w:p w14:paraId="70B0E310" w14:textId="122B9113" w:rsidR="00CD444C" w:rsidRDefault="00CD444C" w:rsidP="009E267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I – O dispositivo está inserido na LDO da união, exercício 2022, não é uma lei nacional, aplicável a todos os entes da federação; </w:t>
      </w:r>
    </w:p>
    <w:p w14:paraId="7E66FBE4" w14:textId="77777777" w:rsidR="00E60F34" w:rsidRDefault="00CD444C" w:rsidP="00962EAE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lastRenderedPageBreak/>
        <w:t xml:space="preserve">II – As LDOs são leis temporárias, então, a Lei nº </w:t>
      </w:r>
      <w:r>
        <w:rPr>
          <w:rFonts w:ascii="Garamond" w:eastAsia="Arial" w:hAnsi="Garamond" w:cstheme="minorHAnsi"/>
          <w:sz w:val="24"/>
          <w:szCs w:val="24"/>
        </w:rPr>
        <w:t>14.435/2022</w:t>
      </w:r>
      <w:r>
        <w:rPr>
          <w:rFonts w:ascii="Garamond" w:eastAsia="Arial" w:hAnsi="Garamond" w:cstheme="minorHAnsi"/>
          <w:sz w:val="24"/>
          <w:szCs w:val="24"/>
        </w:rPr>
        <w:t>, teve aplicabilidade estri</w:t>
      </w:r>
      <w:r w:rsidR="00E60F34">
        <w:rPr>
          <w:rFonts w:ascii="Garamond" w:eastAsia="Arial" w:hAnsi="Garamond" w:cstheme="minorHAnsi"/>
          <w:sz w:val="24"/>
          <w:szCs w:val="24"/>
        </w:rPr>
        <w:t xml:space="preserve">ta ao exercício financeiro e econômico da união naquele ano de 2022; e </w:t>
      </w:r>
    </w:p>
    <w:p w14:paraId="4899BED8" w14:textId="66C9CD88" w:rsidR="00E60F34" w:rsidRDefault="00E60F34" w:rsidP="00962EAE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III – A referida </w:t>
      </w:r>
      <w:r>
        <w:rPr>
          <w:rFonts w:ascii="Garamond" w:eastAsia="Arial" w:hAnsi="Garamond" w:cstheme="minorHAnsi"/>
          <w:sz w:val="24"/>
          <w:szCs w:val="24"/>
        </w:rPr>
        <w:t>nº 14.435/2022</w:t>
      </w:r>
      <w:r>
        <w:rPr>
          <w:rFonts w:ascii="Garamond" w:eastAsia="Arial" w:hAnsi="Garamond" w:cstheme="minorHAnsi"/>
          <w:sz w:val="24"/>
          <w:szCs w:val="24"/>
        </w:rPr>
        <w:t>, como lei especifica e temporária, não p</w:t>
      </w:r>
      <w:r w:rsidR="00624BE3">
        <w:rPr>
          <w:rFonts w:ascii="Garamond" w:eastAsia="Arial" w:hAnsi="Garamond" w:cstheme="minorHAnsi"/>
          <w:sz w:val="24"/>
          <w:szCs w:val="24"/>
        </w:rPr>
        <w:t>o</w:t>
      </w:r>
      <w:r>
        <w:rPr>
          <w:rFonts w:ascii="Garamond" w:eastAsia="Arial" w:hAnsi="Garamond" w:cstheme="minorHAnsi"/>
          <w:sz w:val="24"/>
          <w:szCs w:val="24"/>
        </w:rPr>
        <w:t>d</w:t>
      </w:r>
      <w:r w:rsidR="00624BE3">
        <w:rPr>
          <w:rFonts w:ascii="Garamond" w:eastAsia="Arial" w:hAnsi="Garamond" w:cstheme="minorHAnsi"/>
          <w:sz w:val="24"/>
          <w:szCs w:val="24"/>
        </w:rPr>
        <w:t xml:space="preserve">eria </w:t>
      </w:r>
      <w:r>
        <w:rPr>
          <w:rFonts w:ascii="Garamond" w:eastAsia="Arial" w:hAnsi="Garamond" w:cstheme="minorHAnsi"/>
          <w:sz w:val="24"/>
          <w:szCs w:val="24"/>
        </w:rPr>
        <w:t xml:space="preserve">alterar e não alterou a lei geral das eleições. </w:t>
      </w:r>
    </w:p>
    <w:p w14:paraId="4CB3962C" w14:textId="7A213AE9" w:rsidR="00962EAE" w:rsidRDefault="00E60F34" w:rsidP="00E60F3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>Então, resta analisar o quesito elaborado pelo vereador a luz das eleições.</w:t>
      </w:r>
    </w:p>
    <w:p w14:paraId="4982056F" w14:textId="77777777" w:rsidR="00E60F34" w:rsidRPr="00194F91" w:rsidRDefault="00E60F34" w:rsidP="00E60F3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</w:p>
    <w:p w14:paraId="40BB1ADF" w14:textId="2D154D71" w:rsidR="00EF3304" w:rsidRPr="001B2852" w:rsidRDefault="00E60F34" w:rsidP="00EF3304">
      <w:pPr>
        <w:spacing w:before="120" w:after="120" w:line="360" w:lineRule="auto"/>
        <w:jc w:val="both"/>
        <w:rPr>
          <w:rFonts w:ascii="Garamond" w:eastAsia="Arial" w:hAnsi="Garamond" w:cstheme="minorHAnsi"/>
          <w:color w:val="000000"/>
          <w:sz w:val="24"/>
          <w:szCs w:val="24"/>
        </w:rPr>
      </w:pPr>
      <w:r>
        <w:rPr>
          <w:rFonts w:ascii="Garamond" w:eastAsia="Arial" w:hAnsi="Garamond" w:cstheme="minorHAnsi"/>
          <w:color w:val="000000"/>
          <w:sz w:val="24"/>
          <w:szCs w:val="24"/>
        </w:rPr>
        <w:t>3.2</w:t>
      </w:r>
      <w:r w:rsidR="00EF3304" w:rsidRPr="001B2852">
        <w:rPr>
          <w:rFonts w:ascii="Garamond" w:eastAsia="Arial" w:hAnsi="Garamond" w:cstheme="minorHAnsi"/>
          <w:color w:val="000000"/>
          <w:sz w:val="24"/>
          <w:szCs w:val="24"/>
        </w:rPr>
        <w:t xml:space="preserve">. </w:t>
      </w:r>
      <w:r w:rsidR="00EF3304" w:rsidRPr="00E60F34">
        <w:rPr>
          <w:rFonts w:ascii="Garamond" w:eastAsia="Arial" w:hAnsi="Garamond" w:cstheme="minorHAnsi"/>
          <w:bCs/>
          <w:color w:val="000000"/>
          <w:sz w:val="24"/>
          <w:szCs w:val="24"/>
        </w:rPr>
        <w:t xml:space="preserve">DA LEI </w:t>
      </w:r>
      <w:r w:rsidR="00E75C29" w:rsidRPr="00E60F34">
        <w:rPr>
          <w:rFonts w:ascii="Garamond" w:eastAsia="Arial" w:hAnsi="Garamond" w:cstheme="minorHAnsi"/>
          <w:bCs/>
          <w:color w:val="000000"/>
          <w:sz w:val="24"/>
          <w:szCs w:val="24"/>
        </w:rPr>
        <w:t>ELEITORAL</w:t>
      </w:r>
      <w:r w:rsidR="00E75C29"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 xml:space="preserve"> </w:t>
      </w:r>
    </w:p>
    <w:p w14:paraId="3214130D" w14:textId="2548AA24" w:rsidR="00EF3304" w:rsidRPr="001B2852" w:rsidRDefault="00EF3304" w:rsidP="00EF330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>A Lei nº 9.50</w:t>
      </w:r>
      <w:r w:rsidR="00E60F34">
        <w:rPr>
          <w:rFonts w:ascii="Garamond" w:eastAsia="Arial" w:hAnsi="Garamond" w:cstheme="minorHAnsi"/>
          <w:sz w:val="24"/>
          <w:szCs w:val="24"/>
        </w:rPr>
        <w:t>4</w:t>
      </w:r>
      <w:r w:rsidRPr="001B2852">
        <w:rPr>
          <w:rFonts w:ascii="Garamond" w:eastAsia="Arial" w:hAnsi="Garamond" w:cstheme="minorHAnsi"/>
          <w:sz w:val="24"/>
          <w:szCs w:val="24"/>
        </w:rPr>
        <w:t>/1997, que estabelece normas para eleições, disciplina</w:t>
      </w:r>
      <w:r w:rsidR="005949E4">
        <w:rPr>
          <w:rFonts w:ascii="Garamond" w:eastAsia="Arial" w:hAnsi="Garamond" w:cstheme="minorHAnsi"/>
          <w:sz w:val="24"/>
          <w:szCs w:val="24"/>
        </w:rPr>
        <w:t>da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 nos artigos 73 a 78 as condutas vedadas aos agentes públicos em campanhas eleitorais e, especificamente no </w:t>
      </w:r>
      <w:r w:rsidR="001B2852">
        <w:rPr>
          <w:rFonts w:ascii="Garamond" w:eastAsia="Arial" w:hAnsi="Garamond" w:cstheme="minorHAnsi"/>
          <w:sz w:val="24"/>
          <w:szCs w:val="24"/>
        </w:rPr>
        <w:t>§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10 do artigo 73, incluído pela Lei nº 11.300, de 2006, preceitua a vedação de distribuição gratuita de bens, valores ou benefícios por parte da Administração Pública durante todo o ano eleitoral, com </w:t>
      </w:r>
      <w:r w:rsidRPr="001B2852">
        <w:rPr>
          <w:rFonts w:ascii="Garamond" w:eastAsia="Arial" w:hAnsi="Garamond" w:cstheme="minorHAnsi"/>
          <w:sz w:val="24"/>
          <w:szCs w:val="24"/>
          <w:u w:val="single"/>
        </w:rPr>
        <w:t>exceção das hipóteses de calamidade pública, estado de emergência ou de programas sociais autorizados em lei e já em execução orçamentária no exercício anterior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. </w:t>
      </w:r>
    </w:p>
    <w:p w14:paraId="472BB67C" w14:textId="009195AA" w:rsidR="00EF3304" w:rsidRPr="001B2852" w:rsidRDefault="00EF3304" w:rsidP="00EF330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>Vamos ao teor da norma contida Lei nº 9.50</w:t>
      </w:r>
      <w:r w:rsidR="00E60F34">
        <w:rPr>
          <w:rFonts w:ascii="Garamond" w:eastAsia="Arial" w:hAnsi="Garamond" w:cstheme="minorHAnsi"/>
          <w:sz w:val="24"/>
          <w:szCs w:val="24"/>
        </w:rPr>
        <w:t>4</w:t>
      </w:r>
      <w:r w:rsidRPr="001B2852">
        <w:rPr>
          <w:rFonts w:ascii="Garamond" w:eastAsia="Arial" w:hAnsi="Garamond" w:cstheme="minorHAnsi"/>
          <w:sz w:val="24"/>
          <w:szCs w:val="24"/>
        </w:rPr>
        <w:t>/1997:</w:t>
      </w:r>
    </w:p>
    <w:p w14:paraId="730487F0" w14:textId="77777777" w:rsidR="00EF3304" w:rsidRPr="00C924E7" w:rsidRDefault="00EF3304" w:rsidP="00EF3304">
      <w:pPr>
        <w:spacing w:before="120" w:after="120" w:line="360" w:lineRule="auto"/>
        <w:ind w:left="2268"/>
        <w:jc w:val="both"/>
        <w:rPr>
          <w:rFonts w:ascii="Garamond" w:eastAsia="Arial" w:hAnsi="Garamond" w:cstheme="minorHAnsi"/>
        </w:rPr>
      </w:pPr>
      <w:r w:rsidRPr="00C924E7">
        <w:rPr>
          <w:rFonts w:ascii="Garamond" w:eastAsia="Arial" w:hAnsi="Garamond" w:cstheme="minorHAnsi"/>
        </w:rPr>
        <w:t xml:space="preserve"> Art. 73. São proibidas aos agentes públicos, servidores ou não, as seguintes condutas tendentes a afetar a igualdade de oportunidades entre candidatos nos pleitos eleitorais: (...) § 10. No ano em que se realizar eleição, fica proibida a distribuição gratuita de bens, valores ou benefícios por parte da Administração Pública, </w:t>
      </w:r>
      <w:r w:rsidRPr="00C924E7">
        <w:rPr>
          <w:rFonts w:ascii="Garamond" w:eastAsia="Arial" w:hAnsi="Garamond" w:cstheme="minorHAnsi"/>
          <w:u w:val="single"/>
        </w:rPr>
        <w:t xml:space="preserve">exceto nos casos </w:t>
      </w:r>
      <w:r w:rsidRPr="00C924E7">
        <w:rPr>
          <w:rFonts w:ascii="Garamond" w:eastAsia="Arial" w:hAnsi="Garamond" w:cstheme="minorHAnsi"/>
        </w:rPr>
        <w:t xml:space="preserve">de calamidade pública, de estado de emergência ou de </w:t>
      </w:r>
      <w:r w:rsidRPr="00C924E7">
        <w:rPr>
          <w:rFonts w:ascii="Garamond" w:eastAsia="Arial" w:hAnsi="Garamond" w:cstheme="minorHAnsi"/>
          <w:u w:val="single"/>
        </w:rPr>
        <w:t>programas sociais autorizados em lei e já em execução orçamentária no exercício anterior</w:t>
      </w:r>
      <w:r w:rsidRPr="00C924E7">
        <w:rPr>
          <w:rFonts w:ascii="Garamond" w:eastAsia="Arial" w:hAnsi="Garamond" w:cstheme="minorHAnsi"/>
        </w:rPr>
        <w:t xml:space="preserve">, casos em que o Ministério Público poderá promover o acompanhamento de sua execução financeira e administrativa. </w:t>
      </w:r>
    </w:p>
    <w:p w14:paraId="172292CC" w14:textId="6DB7725A" w:rsidR="00C924E7" w:rsidRPr="001B2852" w:rsidRDefault="00C924E7" w:rsidP="00C924E7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Extrai-se da transcrição do dispositivo da lei eleitoral as condutas proibidas e a exceções, bem como, a indicação do Ministério Público com órgão que poderá </w:t>
      </w:r>
      <w:r w:rsidRPr="004B7813">
        <w:rPr>
          <w:rFonts w:ascii="Garamond" w:eastAsia="Arial" w:hAnsi="Garamond" w:cstheme="minorHAnsi"/>
          <w:sz w:val="24"/>
          <w:szCs w:val="24"/>
        </w:rPr>
        <w:t>promover o acompanhamento de sua execução financeira e administrativa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. </w:t>
      </w:r>
    </w:p>
    <w:p w14:paraId="1EA07553" w14:textId="09824D80" w:rsidR="00EF3304" w:rsidRPr="001B2852" w:rsidRDefault="00EF3304" w:rsidP="00EF330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 xml:space="preserve">As vedações previstas no citado artigo são norteadas pelo princípio da igualdade de oportunidades entre os candidatos e, em especial no </w:t>
      </w:r>
      <w:r w:rsidR="005A0279">
        <w:rPr>
          <w:rFonts w:ascii="Garamond" w:eastAsia="Arial" w:hAnsi="Garamond" w:cstheme="minorHAnsi"/>
          <w:sz w:val="24"/>
          <w:szCs w:val="24"/>
        </w:rPr>
        <w:t>§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 10, objetivou o legislador resguardar a não utilização da máquina pública em caráter eleitoreiro e, consequentemente, o desvirtuando a finalidade da conduta administrativa, dado o potencial favorecimento de um candidato ou partido político em desfavor de outro, em prejuízo ao exercício da democracia. </w:t>
      </w:r>
    </w:p>
    <w:p w14:paraId="0CC1A6A8" w14:textId="77777777" w:rsidR="00EF3304" w:rsidRPr="001B2852" w:rsidRDefault="00EF3304" w:rsidP="00EF330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>Pelo teor do artigo 73, §10 da Lei 9.504/97, concebe-se que, dentre as exceções à proibição a distribuição gratuita de bens, valores ou benefícios por parte da Administração Pública no eleitoral, está a possibilidade de execução de programas sociais autorizados em lei e já em execução no exercício anterior.</w:t>
      </w:r>
    </w:p>
    <w:p w14:paraId="7C2322AA" w14:textId="77777777" w:rsidR="00EF3304" w:rsidRPr="001B2852" w:rsidRDefault="00EF3304" w:rsidP="00EF330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lastRenderedPageBreak/>
        <w:t xml:space="preserve">Partindo do rol de direitos sociais previstos no artigo 6º da Constituição Federal de 1988 é possível classificar os “programas sociais” como os atos e as ações que se destinam à proteção ou efetivação dos direitos à educação, saúde, </w:t>
      </w:r>
      <w:r w:rsidRPr="001B2852">
        <w:rPr>
          <w:rFonts w:ascii="Garamond" w:eastAsia="Arial" w:hAnsi="Garamond" w:cstheme="minorHAnsi"/>
          <w:b/>
          <w:bCs/>
          <w:sz w:val="24"/>
          <w:szCs w:val="24"/>
          <w:u w:val="single"/>
        </w:rPr>
        <w:t>trabalho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, moradia, </w:t>
      </w:r>
      <w:r w:rsidRPr="001B2852">
        <w:rPr>
          <w:rFonts w:ascii="Garamond" w:eastAsia="Arial" w:hAnsi="Garamond" w:cstheme="minorHAnsi"/>
          <w:bCs/>
          <w:sz w:val="24"/>
          <w:szCs w:val="24"/>
        </w:rPr>
        <w:t>lazer</w:t>
      </w:r>
      <w:r w:rsidRPr="001B2852">
        <w:rPr>
          <w:rFonts w:ascii="Garamond" w:eastAsia="Arial" w:hAnsi="Garamond" w:cstheme="minorHAnsi"/>
          <w:sz w:val="24"/>
          <w:szCs w:val="24"/>
        </w:rPr>
        <w:t>, segurança, previdência social, proteção à maternidade, infância e assistência aos desempregados, não esgotando quaisquer outros direitos sociais constitucionais.</w:t>
      </w:r>
    </w:p>
    <w:p w14:paraId="6AF5D754" w14:textId="0640D525" w:rsidR="00EF3304" w:rsidRPr="001B2852" w:rsidRDefault="00EF3304" w:rsidP="00EF330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 xml:space="preserve">Pondera-se que a normativa do artigo supramencionado não visa impedir a implementação e execução de programas sociais em ano eleitoral, inclusive para </w:t>
      </w:r>
      <w:r w:rsidR="000859DA" w:rsidRPr="001B2852">
        <w:rPr>
          <w:rFonts w:ascii="Garamond" w:eastAsia="Arial" w:hAnsi="Garamond" w:cstheme="minorHAnsi"/>
          <w:sz w:val="24"/>
          <w:szCs w:val="24"/>
        </w:rPr>
        <w:t>fomentar o trabalho de grupo de agricultores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, mas veda a utilização das políticas públicas para captação de votos, em desvirtuamento da finalidade do instituto. </w:t>
      </w:r>
      <w:r w:rsidRPr="001B2852">
        <w:rPr>
          <w:rFonts w:ascii="Garamond" w:eastAsia="Arial" w:hAnsi="Garamond" w:cstheme="minorHAnsi"/>
          <w:sz w:val="24"/>
          <w:szCs w:val="24"/>
          <w:u w:val="single"/>
        </w:rPr>
        <w:t>Assim, pela ressalva contida no artigo 73, §10 da Lei nº 9.504/97, é possível a execução e manutenção dos programas sociais no ano eleitoral, desde que cumpridos os dois requisitos previstos: (i) autorização em lei e (ii) execução orçamentária no exercício anterio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r. </w:t>
      </w:r>
    </w:p>
    <w:p w14:paraId="7452B037" w14:textId="77777777" w:rsidR="00EF3304" w:rsidRPr="001B2852" w:rsidRDefault="00EF3304" w:rsidP="00EF3304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 xml:space="preserve">Cumpre destacar que, no que tange à autorização em lei, o TSE tem entendido que a regra do § 10 do art. 73 da Lei nº 9.504/97 não exige que haja norma específica e única para tratar do programa social (TSE, RespE nº 71923, rel. Min. Henrique Neves Da Silva, Publicação: DJE - Diário de justiça eletrônico, Tomo 202, Data 23/10/2015), contudo, a instituição de programa social mediante decreto não atende à ressalva prevista, bem como a mera previsão na lei orçamentária anual dos recursos destinados a esses programas não tem o condão de legitimar sua criação (TSE, AgR-AI nº 116967, rel. Min. Nancy Andrighi, julgado em 30/06/2011). </w:t>
      </w:r>
    </w:p>
    <w:p w14:paraId="4AC18879" w14:textId="730A30C5" w:rsidR="00EF3304" w:rsidRPr="001B2852" w:rsidRDefault="00EF3304" w:rsidP="000859DA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 xml:space="preserve">Adverte-se que a distribuição gratuita de bens, valores ou benefícios por parte da administração pública ressalvada pelo § 10 do art. 73 da Lei das Eleições deve observar os critérios da lei que institui o programa social, de modo a impedir eventual desvirtuamento de finalidade (TSE, AgR-AI nº 334-81/BA, rel. Min. Tarcisio Vieira de Carvalho Neto, julgado em 10.10.2017, DJe de 17.11.2017). Pontua-se que exigência de que haja execução orçamentária no exercício anterior é categórica, (RespE nº 3611, rel. Min. Rosa Weber, julgamento em 02/08/2018) sendo este requisito cumulativo à prévia autorização legal (RO nº 278378, Min. Herman Benjamin, publicação em 15/12/2016). </w:t>
      </w:r>
    </w:p>
    <w:p w14:paraId="2A3D1DBA" w14:textId="15BA1A6C" w:rsidR="00C924E7" w:rsidRDefault="00781A16" w:rsidP="00781A16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 xml:space="preserve">O ano eleitoral, por si só, não gera impedimento ao tramite e aprovação de matérias como as do projeto posto em análise, até porque, a matéria do projeto se afeiçoa à ressalva prevista </w:t>
      </w:r>
      <w:r w:rsidRPr="001B2852">
        <w:rPr>
          <w:rFonts w:ascii="Garamond" w:eastAsia="Arial" w:hAnsi="Garamond" w:cstheme="minorHAnsi"/>
          <w:sz w:val="24"/>
          <w:szCs w:val="24"/>
          <w:u w:val="single"/>
        </w:rPr>
        <w:t>artigo 73, §10 da Lei nº 9.504/97: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 programa social autorizado em lei e execução orçamentári</w:t>
      </w:r>
      <w:r w:rsidR="005949E4">
        <w:rPr>
          <w:rFonts w:ascii="Garamond" w:eastAsia="Arial" w:hAnsi="Garamond" w:cstheme="minorHAnsi"/>
          <w:sz w:val="24"/>
          <w:szCs w:val="24"/>
        </w:rPr>
        <w:t>a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 no exercício anterior</w:t>
      </w:r>
      <w:r w:rsidR="00C924E7">
        <w:rPr>
          <w:rFonts w:ascii="Garamond" w:eastAsia="Arial" w:hAnsi="Garamond" w:cstheme="minorHAnsi"/>
          <w:sz w:val="24"/>
          <w:szCs w:val="24"/>
        </w:rPr>
        <w:t xml:space="preserve">. </w:t>
      </w:r>
    </w:p>
    <w:p w14:paraId="6ECDBAB6" w14:textId="46F4922B" w:rsidR="00781A16" w:rsidRDefault="00C924E7" w:rsidP="00781A16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Quanto a execução orçamentária </w:t>
      </w:r>
      <w:r w:rsidRPr="001B2852">
        <w:rPr>
          <w:rFonts w:ascii="Garamond" w:eastAsia="Arial" w:hAnsi="Garamond" w:cstheme="minorHAnsi"/>
          <w:sz w:val="24"/>
          <w:szCs w:val="24"/>
        </w:rPr>
        <w:t>do programa de fomento da agricultura familiar e da atividade de pequenos agricultores</w:t>
      </w:r>
      <w:r>
        <w:rPr>
          <w:rFonts w:ascii="Garamond" w:eastAsia="Arial" w:hAnsi="Garamond" w:cstheme="minorHAnsi"/>
          <w:sz w:val="24"/>
          <w:szCs w:val="24"/>
        </w:rPr>
        <w:t xml:space="preserve"> no exercício anterior, registra-se que a casa legislativa municipal, </w:t>
      </w:r>
      <w:r w:rsidR="00781A16" w:rsidRPr="001B2852">
        <w:rPr>
          <w:rFonts w:ascii="Garamond" w:eastAsia="Arial" w:hAnsi="Garamond" w:cstheme="minorHAnsi"/>
          <w:sz w:val="24"/>
          <w:szCs w:val="24"/>
        </w:rPr>
        <w:t xml:space="preserve">no ano de 2023, </w:t>
      </w:r>
      <w:r>
        <w:rPr>
          <w:rFonts w:ascii="Garamond" w:eastAsia="Arial" w:hAnsi="Garamond" w:cstheme="minorHAnsi"/>
          <w:sz w:val="24"/>
          <w:szCs w:val="24"/>
        </w:rPr>
        <w:t xml:space="preserve">aprovou </w:t>
      </w:r>
      <w:r w:rsidR="00355C63" w:rsidRPr="001B2852">
        <w:rPr>
          <w:rFonts w:ascii="Garamond" w:eastAsia="Arial" w:hAnsi="Garamond" w:cstheme="minorHAnsi"/>
          <w:sz w:val="24"/>
          <w:szCs w:val="24"/>
        </w:rPr>
        <w:t xml:space="preserve">Leis nº 2.707, de 10/03/2023 e nº 2.718, de 05/05/2023. </w:t>
      </w:r>
    </w:p>
    <w:p w14:paraId="7D9D79E5" w14:textId="77777777" w:rsidR="00EF3304" w:rsidRDefault="00EF3304" w:rsidP="00EF3304">
      <w:pPr>
        <w:spacing w:before="120" w:after="120" w:line="360" w:lineRule="auto"/>
        <w:jc w:val="both"/>
        <w:rPr>
          <w:rFonts w:ascii="Garamond" w:eastAsia="Arial" w:hAnsi="Garamond" w:cstheme="minorHAnsi"/>
          <w:sz w:val="24"/>
          <w:szCs w:val="24"/>
        </w:rPr>
      </w:pPr>
    </w:p>
    <w:p w14:paraId="1D5A54A2" w14:textId="56720BBD" w:rsidR="00EF3304" w:rsidRPr="001B2852" w:rsidRDefault="00E60F34" w:rsidP="00EF3304">
      <w:pPr>
        <w:spacing w:before="120" w:after="120" w:line="360" w:lineRule="auto"/>
        <w:jc w:val="both"/>
        <w:rPr>
          <w:rFonts w:ascii="Garamond" w:eastAsia="Arial" w:hAnsi="Garamond" w:cstheme="minorHAnsi"/>
          <w:b/>
          <w:color w:val="000000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>4</w:t>
      </w:r>
      <w:r w:rsidR="00EF3304" w:rsidRPr="001B2852">
        <w:rPr>
          <w:rFonts w:ascii="Garamond" w:eastAsia="Arial" w:hAnsi="Garamond" w:cstheme="minorHAnsi"/>
          <w:sz w:val="24"/>
          <w:szCs w:val="24"/>
        </w:rPr>
        <w:t>.</w:t>
      </w:r>
      <w:r w:rsidR="00EF3304" w:rsidRPr="001B2852">
        <w:rPr>
          <w:rFonts w:ascii="Garamond" w:eastAsia="Arial" w:hAnsi="Garamond" w:cstheme="minorHAnsi"/>
          <w:color w:val="000000"/>
          <w:sz w:val="24"/>
          <w:szCs w:val="24"/>
        </w:rPr>
        <w:t xml:space="preserve"> </w:t>
      </w:r>
      <w:r w:rsidR="00EF3304" w:rsidRPr="001B2852">
        <w:rPr>
          <w:rFonts w:ascii="Garamond" w:eastAsia="Arial" w:hAnsi="Garamond" w:cstheme="minorHAnsi"/>
          <w:b/>
          <w:color w:val="000000"/>
          <w:sz w:val="24"/>
          <w:szCs w:val="24"/>
        </w:rPr>
        <w:t xml:space="preserve">DAS CONCLUSÕES </w:t>
      </w:r>
    </w:p>
    <w:p w14:paraId="76A3DBE6" w14:textId="77777777" w:rsidR="005A0279" w:rsidRDefault="005A0279" w:rsidP="00BB6086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</w:p>
    <w:p w14:paraId="58AD431E" w14:textId="44FE9B97" w:rsidR="00C53CE3" w:rsidRDefault="00BB6086" w:rsidP="00BB6086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eastAsia="Arial" w:hAnsi="Garamond" w:cstheme="minorHAnsi"/>
          <w:sz w:val="24"/>
          <w:szCs w:val="24"/>
        </w:rPr>
        <w:t xml:space="preserve">A legislação eleitoral </w:t>
      </w:r>
      <w:r w:rsidR="007C1E6A">
        <w:rPr>
          <w:rFonts w:ascii="Garamond" w:eastAsia="Arial" w:hAnsi="Garamond" w:cstheme="minorHAnsi"/>
          <w:sz w:val="24"/>
          <w:szCs w:val="24"/>
        </w:rPr>
        <w:t xml:space="preserve">tem </w:t>
      </w:r>
      <w:r>
        <w:rPr>
          <w:rFonts w:ascii="Garamond" w:eastAsia="Arial" w:hAnsi="Garamond" w:cstheme="minorHAnsi"/>
          <w:sz w:val="24"/>
          <w:szCs w:val="24"/>
        </w:rPr>
        <w:t xml:space="preserve">objetivo </w:t>
      </w:r>
      <w:r w:rsidR="007C1E6A">
        <w:rPr>
          <w:rFonts w:ascii="Garamond" w:eastAsia="Arial" w:hAnsi="Garamond" w:cstheme="minorHAnsi"/>
          <w:sz w:val="24"/>
          <w:szCs w:val="24"/>
        </w:rPr>
        <w:t xml:space="preserve">de </w:t>
      </w:r>
      <w:r w:rsidRPr="001B2852">
        <w:rPr>
          <w:rFonts w:ascii="Garamond" w:eastAsia="Arial" w:hAnsi="Garamond" w:cstheme="minorHAnsi"/>
          <w:sz w:val="24"/>
          <w:szCs w:val="24"/>
        </w:rPr>
        <w:t>resguardar a não utilização da máquina pública em caráter eleitoreiro e, consequentemente, o desvirtuando a finalidade da conduta administrativa, dado o potencial favorecimento de um candidato ou partido político em desfavor de outro, em prejuízo ao exercício da democracia</w:t>
      </w:r>
      <w:r>
        <w:rPr>
          <w:rFonts w:ascii="Garamond" w:eastAsia="Arial" w:hAnsi="Garamond" w:cstheme="minorHAnsi"/>
          <w:sz w:val="24"/>
          <w:szCs w:val="24"/>
        </w:rPr>
        <w:t xml:space="preserve">, dentre elas, </w:t>
      </w:r>
      <w:r w:rsidRPr="00BB6086">
        <w:rPr>
          <w:rFonts w:ascii="Garamond" w:eastAsia="Arial" w:hAnsi="Garamond" w:cstheme="minorHAnsi"/>
          <w:sz w:val="24"/>
          <w:szCs w:val="24"/>
        </w:rPr>
        <w:t>a distribuição gratuita de bens, valores ou benefícios por parte da Administração Pública</w:t>
      </w:r>
      <w:r w:rsidR="00C53CE3">
        <w:rPr>
          <w:rFonts w:ascii="Garamond" w:eastAsia="Arial" w:hAnsi="Garamond" w:cstheme="minorHAnsi"/>
          <w:sz w:val="24"/>
          <w:szCs w:val="24"/>
        </w:rPr>
        <w:t xml:space="preserve">, </w:t>
      </w:r>
      <w:r w:rsidR="00C53CE3" w:rsidRPr="001B2852">
        <w:rPr>
          <w:rFonts w:ascii="Garamond" w:eastAsia="Arial" w:hAnsi="Garamond" w:cstheme="minorHAnsi"/>
          <w:sz w:val="24"/>
          <w:szCs w:val="24"/>
        </w:rPr>
        <w:t>para captação de votos</w:t>
      </w:r>
      <w:r w:rsidR="00C53CE3">
        <w:rPr>
          <w:rFonts w:ascii="Garamond" w:eastAsia="Arial" w:hAnsi="Garamond" w:cstheme="minorHAnsi"/>
          <w:sz w:val="24"/>
          <w:szCs w:val="24"/>
        </w:rPr>
        <w:t xml:space="preserve">. </w:t>
      </w:r>
    </w:p>
    <w:p w14:paraId="37403750" w14:textId="2BE553B5" w:rsidR="00EB1F05" w:rsidRDefault="00C53CE3" w:rsidP="00EB1F05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 xml:space="preserve">Pondera-se que a normativa do </w:t>
      </w:r>
      <w:r w:rsidRPr="00C53CE3">
        <w:rPr>
          <w:rFonts w:ascii="Garamond" w:eastAsia="Arial" w:hAnsi="Garamond" w:cstheme="minorHAnsi"/>
          <w:sz w:val="24"/>
          <w:szCs w:val="24"/>
        </w:rPr>
        <w:t xml:space="preserve">artigo 73, §10 da Lei nº 9.504/97 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não visa impedir a implementação e execução de programas sociais em ano eleitoral, </w:t>
      </w:r>
      <w:r>
        <w:rPr>
          <w:rFonts w:ascii="Garamond" w:eastAsia="Arial" w:hAnsi="Garamond" w:cstheme="minorHAnsi"/>
          <w:sz w:val="24"/>
          <w:szCs w:val="24"/>
        </w:rPr>
        <w:t xml:space="preserve">como o </w:t>
      </w:r>
      <w:r w:rsidRPr="00E60F34">
        <w:rPr>
          <w:rFonts w:ascii="Garamond" w:eastAsia="Arial" w:hAnsi="Garamond" w:cstheme="minorHAnsi"/>
          <w:sz w:val="24"/>
          <w:szCs w:val="24"/>
        </w:rPr>
        <w:t>fomento ao trabalho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 de agricultores</w:t>
      </w:r>
      <w:r>
        <w:rPr>
          <w:rFonts w:ascii="Garamond" w:eastAsia="Arial" w:hAnsi="Garamond" w:cstheme="minorHAnsi"/>
          <w:sz w:val="24"/>
          <w:szCs w:val="24"/>
        </w:rPr>
        <w:t xml:space="preserve"> familiares organizado em grupos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, mas veda a utilização </w:t>
      </w:r>
      <w:r w:rsidR="00E2782F">
        <w:rPr>
          <w:rFonts w:ascii="Garamond" w:eastAsia="Arial" w:hAnsi="Garamond" w:cstheme="minorHAnsi"/>
          <w:sz w:val="24"/>
          <w:szCs w:val="24"/>
        </w:rPr>
        <w:t xml:space="preserve">dessa </w:t>
      </w:r>
      <w:r w:rsidR="00E2782F" w:rsidRPr="001B2852">
        <w:rPr>
          <w:rFonts w:ascii="Garamond" w:eastAsia="Arial" w:hAnsi="Garamond" w:cstheme="minorHAnsi"/>
          <w:sz w:val="24"/>
          <w:szCs w:val="24"/>
        </w:rPr>
        <w:t>política</w:t>
      </w:r>
      <w:r w:rsidRPr="001B2852">
        <w:rPr>
          <w:rFonts w:ascii="Garamond" w:eastAsia="Arial" w:hAnsi="Garamond" w:cstheme="minorHAnsi"/>
          <w:sz w:val="24"/>
          <w:szCs w:val="24"/>
        </w:rPr>
        <w:t xml:space="preserve"> pública em </w:t>
      </w:r>
      <w:r>
        <w:rPr>
          <w:rFonts w:ascii="Garamond" w:eastAsia="Arial" w:hAnsi="Garamond" w:cstheme="minorHAnsi"/>
          <w:sz w:val="24"/>
          <w:szCs w:val="24"/>
        </w:rPr>
        <w:t xml:space="preserve">desvio de finalidade </w:t>
      </w:r>
      <w:r w:rsidRPr="001B2852">
        <w:rPr>
          <w:rFonts w:ascii="Garamond" w:eastAsia="Arial" w:hAnsi="Garamond" w:cstheme="minorHAnsi"/>
          <w:sz w:val="24"/>
          <w:szCs w:val="24"/>
        </w:rPr>
        <w:t>do instituto</w:t>
      </w:r>
      <w:r>
        <w:rPr>
          <w:rFonts w:ascii="Garamond" w:eastAsia="Arial" w:hAnsi="Garamond" w:cstheme="minorHAnsi"/>
          <w:sz w:val="24"/>
          <w:szCs w:val="24"/>
        </w:rPr>
        <w:t xml:space="preserve">, por isso a </w:t>
      </w:r>
      <w:r w:rsidR="00BB6086">
        <w:rPr>
          <w:rFonts w:ascii="Garamond" w:eastAsia="Arial" w:hAnsi="Garamond" w:cstheme="minorHAnsi"/>
          <w:sz w:val="24"/>
          <w:szCs w:val="24"/>
        </w:rPr>
        <w:t xml:space="preserve">mesma legislação </w:t>
      </w:r>
      <w:r w:rsidR="00E2782F">
        <w:rPr>
          <w:rFonts w:ascii="Garamond" w:eastAsia="Arial" w:hAnsi="Garamond" w:cstheme="minorHAnsi"/>
          <w:sz w:val="24"/>
          <w:szCs w:val="24"/>
        </w:rPr>
        <w:t xml:space="preserve">excepcionou </w:t>
      </w:r>
      <w:r w:rsidR="007C1E6A">
        <w:rPr>
          <w:rFonts w:ascii="Garamond" w:eastAsia="Arial" w:hAnsi="Garamond" w:cstheme="minorHAnsi"/>
          <w:sz w:val="24"/>
          <w:szCs w:val="24"/>
        </w:rPr>
        <w:t xml:space="preserve">a manutenção e execução de </w:t>
      </w:r>
      <w:r w:rsidR="00BB6086">
        <w:rPr>
          <w:rFonts w:ascii="Garamond" w:eastAsia="Arial" w:hAnsi="Garamond" w:cstheme="minorHAnsi"/>
          <w:sz w:val="24"/>
          <w:szCs w:val="24"/>
        </w:rPr>
        <w:t>programa</w:t>
      </w:r>
      <w:r w:rsidR="00EB1F05" w:rsidRPr="00EB1F05">
        <w:rPr>
          <w:rFonts w:ascii="Garamond" w:eastAsia="Arial" w:hAnsi="Garamond" w:cstheme="minorHAnsi"/>
          <w:sz w:val="24"/>
          <w:szCs w:val="24"/>
        </w:rPr>
        <w:t xml:space="preserve"> </w:t>
      </w:r>
      <w:r w:rsidR="00EB1F05" w:rsidRPr="001B2852">
        <w:rPr>
          <w:rFonts w:ascii="Garamond" w:eastAsia="Arial" w:hAnsi="Garamond" w:cstheme="minorHAnsi"/>
          <w:sz w:val="24"/>
          <w:szCs w:val="24"/>
        </w:rPr>
        <w:t>social autorizado em lei</w:t>
      </w:r>
      <w:r w:rsidR="00EB1F05">
        <w:rPr>
          <w:rFonts w:ascii="Garamond" w:eastAsia="Arial" w:hAnsi="Garamond" w:cstheme="minorHAnsi"/>
          <w:sz w:val="24"/>
          <w:szCs w:val="24"/>
        </w:rPr>
        <w:t xml:space="preserve"> (não necessita lei específica)</w:t>
      </w:r>
      <w:r w:rsidR="00EB1F05" w:rsidRPr="001B2852">
        <w:rPr>
          <w:rFonts w:ascii="Garamond" w:eastAsia="Arial" w:hAnsi="Garamond" w:cstheme="minorHAnsi"/>
          <w:sz w:val="24"/>
          <w:szCs w:val="24"/>
        </w:rPr>
        <w:t xml:space="preserve"> e execução orçamentári</w:t>
      </w:r>
      <w:r w:rsidR="005949E4">
        <w:rPr>
          <w:rFonts w:ascii="Garamond" w:eastAsia="Arial" w:hAnsi="Garamond" w:cstheme="minorHAnsi"/>
          <w:sz w:val="24"/>
          <w:szCs w:val="24"/>
        </w:rPr>
        <w:t>a</w:t>
      </w:r>
      <w:r w:rsidR="00EB1F05" w:rsidRPr="001B2852">
        <w:rPr>
          <w:rFonts w:ascii="Garamond" w:eastAsia="Arial" w:hAnsi="Garamond" w:cstheme="minorHAnsi"/>
          <w:sz w:val="24"/>
          <w:szCs w:val="24"/>
        </w:rPr>
        <w:t xml:space="preserve"> no exercício anterior</w:t>
      </w:r>
      <w:r w:rsidR="00EB1F05">
        <w:rPr>
          <w:rFonts w:ascii="Garamond" w:eastAsia="Arial" w:hAnsi="Garamond" w:cstheme="minorHAnsi"/>
          <w:sz w:val="24"/>
          <w:szCs w:val="24"/>
        </w:rPr>
        <w:t xml:space="preserve">. </w:t>
      </w:r>
    </w:p>
    <w:p w14:paraId="1F0FA133" w14:textId="05447795" w:rsidR="00EB1F05" w:rsidRDefault="00EB1F05" w:rsidP="00EB1F05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Considerado que o </w:t>
      </w:r>
      <w:r w:rsidRPr="001B2852">
        <w:rPr>
          <w:rFonts w:ascii="Garamond" w:hAnsi="Garamond"/>
          <w:sz w:val="24"/>
          <w:szCs w:val="24"/>
        </w:rPr>
        <w:t>fomento da agricultura familiar e da atividade de pequenos agricultores</w:t>
      </w:r>
      <w:r>
        <w:rPr>
          <w:rFonts w:ascii="Garamond" w:hAnsi="Garamond"/>
          <w:sz w:val="24"/>
          <w:szCs w:val="24"/>
        </w:rPr>
        <w:t xml:space="preserve">, objeto do </w:t>
      </w:r>
      <w:r>
        <w:rPr>
          <w:rFonts w:ascii="Garamond" w:eastAsia="Arial" w:hAnsi="Garamond" w:cstheme="minorHAnsi"/>
          <w:sz w:val="24"/>
          <w:szCs w:val="24"/>
        </w:rPr>
        <w:t xml:space="preserve">Projeto de Lei nº 61/2024 esteve em execução orçamentária no exercício de 2023, com autorização legislativa materializadas nas </w:t>
      </w:r>
      <w:r w:rsidRPr="001B2852">
        <w:rPr>
          <w:rFonts w:ascii="Garamond" w:eastAsia="Arial" w:hAnsi="Garamond" w:cstheme="minorHAnsi"/>
          <w:sz w:val="24"/>
          <w:szCs w:val="24"/>
        </w:rPr>
        <w:t>Leis nº 2.707, de 10/03/2023 e nº 2.718, de 05/05/2023</w:t>
      </w:r>
      <w:r>
        <w:rPr>
          <w:rFonts w:ascii="Garamond" w:eastAsia="Arial" w:hAnsi="Garamond" w:cstheme="minorHAnsi"/>
          <w:sz w:val="24"/>
          <w:szCs w:val="24"/>
        </w:rPr>
        <w:t xml:space="preserve">, tem-se que a proposição atende aos aspectos legais para seguir sua tramitação. </w:t>
      </w:r>
    </w:p>
    <w:p w14:paraId="70114DF6" w14:textId="5618E1E1" w:rsidR="005A0279" w:rsidRDefault="00065728" w:rsidP="005A0279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  <w:r w:rsidRPr="001B2852">
        <w:rPr>
          <w:rFonts w:ascii="Garamond" w:eastAsia="Arial" w:hAnsi="Garamond" w:cstheme="minorHAnsi"/>
          <w:sz w:val="24"/>
          <w:szCs w:val="24"/>
        </w:rPr>
        <w:t>Por fim, como esse parecer técnico não vincula as decisões de vereadores, cabe aos parlamentares buscar outros fundamentos para deliberar sobre o mérito, assim como, cabe aos edis</w:t>
      </w:r>
      <w:r>
        <w:rPr>
          <w:rFonts w:ascii="Garamond" w:eastAsia="Arial" w:hAnsi="Garamond" w:cstheme="minorHAnsi"/>
          <w:sz w:val="24"/>
          <w:szCs w:val="24"/>
        </w:rPr>
        <w:t xml:space="preserve"> </w:t>
      </w:r>
      <w:r w:rsidRPr="001B2852">
        <w:rPr>
          <w:rFonts w:ascii="Garamond" w:eastAsia="Arial" w:hAnsi="Garamond" w:cstheme="minorHAnsi"/>
          <w:sz w:val="24"/>
          <w:szCs w:val="24"/>
        </w:rPr>
        <w:t>a fiscalização dos atos subsequentes que regulamentam e dão concretude as leis que aprovam</w:t>
      </w:r>
      <w:r>
        <w:rPr>
          <w:rFonts w:ascii="Garamond" w:eastAsia="Arial" w:hAnsi="Garamond" w:cstheme="minorHAnsi"/>
          <w:sz w:val="24"/>
          <w:szCs w:val="24"/>
        </w:rPr>
        <w:t>, sem prejuízo</w:t>
      </w:r>
      <w:r w:rsidR="005A0279">
        <w:rPr>
          <w:rFonts w:ascii="Garamond" w:eastAsia="Arial" w:hAnsi="Garamond" w:cstheme="minorHAnsi"/>
          <w:sz w:val="24"/>
          <w:szCs w:val="24"/>
        </w:rPr>
        <w:t xml:space="preserve"> ao </w:t>
      </w:r>
      <w:r w:rsidR="005949E4" w:rsidRPr="004B7813">
        <w:rPr>
          <w:rFonts w:ascii="Garamond" w:eastAsia="Arial" w:hAnsi="Garamond" w:cstheme="minorHAnsi"/>
          <w:sz w:val="24"/>
          <w:szCs w:val="24"/>
        </w:rPr>
        <w:t>acompanhamento</w:t>
      </w:r>
      <w:r w:rsidR="005A0279">
        <w:rPr>
          <w:rFonts w:ascii="Garamond" w:eastAsia="Arial" w:hAnsi="Garamond" w:cstheme="minorHAnsi"/>
          <w:sz w:val="24"/>
          <w:szCs w:val="24"/>
        </w:rPr>
        <w:t xml:space="preserve"> </w:t>
      </w:r>
      <w:r w:rsidR="005A0279">
        <w:rPr>
          <w:rFonts w:ascii="Garamond" w:eastAsia="Arial" w:hAnsi="Garamond" w:cstheme="minorHAnsi"/>
          <w:sz w:val="24"/>
          <w:szCs w:val="24"/>
        </w:rPr>
        <w:t>Ministério Público</w:t>
      </w:r>
      <w:r w:rsidR="005A0279">
        <w:rPr>
          <w:rFonts w:ascii="Garamond" w:eastAsia="Arial" w:hAnsi="Garamond" w:cstheme="minorHAnsi"/>
          <w:sz w:val="24"/>
          <w:szCs w:val="24"/>
        </w:rPr>
        <w:t xml:space="preserve"> Eleitoral, conforme a parte final do </w:t>
      </w:r>
      <w:r w:rsidR="005A0279" w:rsidRPr="001B2852">
        <w:rPr>
          <w:rFonts w:ascii="Garamond" w:eastAsia="Arial" w:hAnsi="Garamond" w:cstheme="minorHAnsi"/>
          <w:sz w:val="24"/>
          <w:szCs w:val="24"/>
        </w:rPr>
        <w:t>§10</w:t>
      </w:r>
      <w:r w:rsidR="005A0279">
        <w:rPr>
          <w:rFonts w:ascii="Garamond" w:eastAsia="Arial" w:hAnsi="Garamond" w:cstheme="minorHAnsi"/>
          <w:sz w:val="24"/>
          <w:szCs w:val="24"/>
        </w:rPr>
        <w:t xml:space="preserve">, do Art. 73, </w:t>
      </w:r>
      <w:r w:rsidR="005A0279" w:rsidRPr="001B2852">
        <w:rPr>
          <w:rFonts w:ascii="Garamond" w:eastAsia="Arial" w:hAnsi="Garamond" w:cstheme="minorHAnsi"/>
          <w:sz w:val="24"/>
          <w:szCs w:val="24"/>
        </w:rPr>
        <w:t>da Lei 9.504/97</w:t>
      </w:r>
      <w:r w:rsidR="005A0279">
        <w:rPr>
          <w:rFonts w:ascii="Garamond" w:eastAsia="Arial" w:hAnsi="Garamond" w:cstheme="minorHAnsi"/>
          <w:sz w:val="24"/>
          <w:szCs w:val="24"/>
        </w:rPr>
        <w:t>.</w:t>
      </w:r>
    </w:p>
    <w:p w14:paraId="096CB3F5" w14:textId="77777777" w:rsidR="00065728" w:rsidRPr="001B2852" w:rsidRDefault="00065728" w:rsidP="00065728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color w:val="000000"/>
          <w:sz w:val="24"/>
          <w:szCs w:val="24"/>
        </w:rPr>
      </w:pPr>
      <w:r w:rsidRPr="001B2852">
        <w:rPr>
          <w:rFonts w:ascii="Garamond" w:eastAsia="Arial" w:hAnsi="Garamond" w:cstheme="minorHAnsi"/>
          <w:color w:val="000000"/>
          <w:sz w:val="24"/>
          <w:szCs w:val="24"/>
        </w:rPr>
        <w:t>É o parecer.</w:t>
      </w:r>
    </w:p>
    <w:p w14:paraId="2A406A4A" w14:textId="77777777" w:rsidR="00065728" w:rsidRPr="001B2852" w:rsidRDefault="00065728" w:rsidP="00065728">
      <w:pPr>
        <w:spacing w:before="120" w:after="120" w:line="360" w:lineRule="auto"/>
        <w:jc w:val="center"/>
        <w:rPr>
          <w:rFonts w:ascii="Garamond" w:eastAsia="Arial" w:hAnsi="Garamond" w:cstheme="minorHAnsi"/>
          <w:color w:val="000000"/>
          <w:sz w:val="24"/>
          <w:szCs w:val="24"/>
        </w:rPr>
      </w:pPr>
      <w:r w:rsidRPr="001B2852">
        <w:rPr>
          <w:rFonts w:ascii="Garamond" w:eastAsia="Arial" w:hAnsi="Garamond" w:cstheme="minorHAnsi"/>
          <w:color w:val="000000"/>
          <w:sz w:val="24"/>
          <w:szCs w:val="24"/>
        </w:rPr>
        <w:t xml:space="preserve">Anchieta, 26 de setembro de 2024. </w:t>
      </w:r>
    </w:p>
    <w:p w14:paraId="7C00B88C" w14:textId="77777777" w:rsidR="00E2782F" w:rsidRDefault="00E2782F" w:rsidP="00065728">
      <w:pPr>
        <w:spacing w:after="0" w:line="240" w:lineRule="auto"/>
        <w:jc w:val="center"/>
        <w:rPr>
          <w:rFonts w:ascii="Garamond" w:eastAsia="Arial" w:hAnsi="Garamond" w:cstheme="minorHAnsi"/>
          <w:color w:val="000000"/>
          <w:sz w:val="24"/>
          <w:szCs w:val="24"/>
        </w:rPr>
      </w:pPr>
    </w:p>
    <w:p w14:paraId="2CDE4C53" w14:textId="77777777" w:rsidR="00E2782F" w:rsidRDefault="00E2782F" w:rsidP="00065728">
      <w:pPr>
        <w:spacing w:after="0" w:line="240" w:lineRule="auto"/>
        <w:jc w:val="center"/>
        <w:rPr>
          <w:rFonts w:ascii="Garamond" w:eastAsia="Arial" w:hAnsi="Garamond" w:cstheme="minorHAnsi"/>
          <w:color w:val="000000"/>
          <w:sz w:val="24"/>
          <w:szCs w:val="24"/>
        </w:rPr>
      </w:pPr>
    </w:p>
    <w:p w14:paraId="11DA778A" w14:textId="42B4CB0B" w:rsidR="00065728" w:rsidRPr="001B2852" w:rsidRDefault="00065728" w:rsidP="00065728">
      <w:pPr>
        <w:spacing w:after="0" w:line="240" w:lineRule="auto"/>
        <w:jc w:val="center"/>
        <w:rPr>
          <w:rFonts w:ascii="Garamond" w:eastAsia="Arial" w:hAnsi="Garamond" w:cstheme="minorHAnsi"/>
          <w:color w:val="000000"/>
          <w:sz w:val="24"/>
          <w:szCs w:val="24"/>
        </w:rPr>
      </w:pPr>
      <w:r w:rsidRPr="001B2852">
        <w:rPr>
          <w:rFonts w:ascii="Garamond" w:eastAsia="Arial" w:hAnsi="Garamond" w:cstheme="minorHAnsi"/>
          <w:color w:val="000000"/>
          <w:sz w:val="24"/>
          <w:szCs w:val="24"/>
        </w:rPr>
        <w:t>GILMAR DE SOUZA</w:t>
      </w:r>
    </w:p>
    <w:p w14:paraId="0528ADB2" w14:textId="77777777" w:rsidR="00065728" w:rsidRPr="001B2852" w:rsidRDefault="00065728" w:rsidP="00065728">
      <w:pPr>
        <w:spacing w:after="0" w:line="240" w:lineRule="auto"/>
        <w:jc w:val="center"/>
        <w:rPr>
          <w:rFonts w:ascii="Garamond" w:eastAsia="Arial" w:hAnsi="Garamond" w:cstheme="minorHAnsi"/>
          <w:color w:val="000000"/>
          <w:sz w:val="24"/>
          <w:szCs w:val="24"/>
        </w:rPr>
      </w:pPr>
      <w:r w:rsidRPr="001B2852">
        <w:rPr>
          <w:rFonts w:ascii="Garamond" w:eastAsia="Arial" w:hAnsi="Garamond" w:cstheme="minorHAnsi"/>
          <w:color w:val="000000"/>
          <w:sz w:val="24"/>
          <w:szCs w:val="24"/>
        </w:rPr>
        <w:t>Advogado do Legislativo</w:t>
      </w:r>
    </w:p>
    <w:p w14:paraId="192367C8" w14:textId="77777777" w:rsidR="00065728" w:rsidRDefault="00065728" w:rsidP="00EB1F05">
      <w:pPr>
        <w:spacing w:before="120" w:after="120" w:line="360" w:lineRule="auto"/>
        <w:ind w:firstLine="709"/>
        <w:jc w:val="both"/>
        <w:rPr>
          <w:rFonts w:ascii="Garamond" w:eastAsia="Arial" w:hAnsi="Garamond" w:cstheme="minorHAnsi"/>
          <w:sz w:val="24"/>
          <w:szCs w:val="24"/>
        </w:rPr>
      </w:pPr>
    </w:p>
    <w:p w14:paraId="1039623D" w14:textId="77777777" w:rsidR="00EF3304" w:rsidRPr="001B2852" w:rsidRDefault="00EF3304" w:rsidP="00EF3304">
      <w:pPr>
        <w:tabs>
          <w:tab w:val="left" w:pos="2977"/>
        </w:tabs>
        <w:spacing w:after="0" w:line="240" w:lineRule="auto"/>
        <w:ind w:firstLine="708"/>
        <w:jc w:val="both"/>
        <w:rPr>
          <w:rFonts w:ascii="Garamond" w:eastAsia="Arial" w:hAnsi="Garamond" w:cstheme="minorHAnsi"/>
          <w:sz w:val="24"/>
          <w:szCs w:val="24"/>
        </w:rPr>
      </w:pPr>
    </w:p>
    <w:p w14:paraId="047A7C5B" w14:textId="77777777" w:rsidR="00EF3304" w:rsidRPr="001B2852" w:rsidRDefault="00EF3304" w:rsidP="00EF3304">
      <w:pPr>
        <w:tabs>
          <w:tab w:val="left" w:pos="2977"/>
        </w:tabs>
        <w:spacing w:after="0" w:line="240" w:lineRule="auto"/>
        <w:ind w:firstLine="708"/>
        <w:jc w:val="both"/>
        <w:rPr>
          <w:rFonts w:ascii="Garamond" w:eastAsia="Arial" w:hAnsi="Garamond" w:cstheme="minorHAnsi"/>
          <w:sz w:val="24"/>
          <w:szCs w:val="24"/>
        </w:rPr>
      </w:pPr>
    </w:p>
    <w:p w14:paraId="6A015964" w14:textId="77777777" w:rsidR="00EF3304" w:rsidRPr="001B2852" w:rsidRDefault="00EF3304" w:rsidP="00EF3304">
      <w:pPr>
        <w:tabs>
          <w:tab w:val="left" w:pos="2977"/>
        </w:tabs>
        <w:spacing w:after="0" w:line="240" w:lineRule="auto"/>
        <w:ind w:firstLine="708"/>
        <w:jc w:val="both"/>
        <w:rPr>
          <w:rFonts w:ascii="Garamond" w:eastAsia="Arial" w:hAnsi="Garamond" w:cstheme="minorHAnsi"/>
          <w:sz w:val="24"/>
          <w:szCs w:val="24"/>
        </w:rPr>
      </w:pPr>
    </w:p>
    <w:p w14:paraId="50CF4338" w14:textId="77777777" w:rsidR="00EF3304" w:rsidRPr="001B2852" w:rsidRDefault="00EF3304" w:rsidP="00EF3304">
      <w:pPr>
        <w:tabs>
          <w:tab w:val="left" w:pos="2977"/>
        </w:tabs>
        <w:spacing w:after="0" w:line="240" w:lineRule="auto"/>
        <w:ind w:firstLine="708"/>
        <w:jc w:val="both"/>
        <w:rPr>
          <w:rFonts w:ascii="Garamond" w:eastAsia="Arial" w:hAnsi="Garamond" w:cstheme="minorHAnsi"/>
          <w:sz w:val="24"/>
          <w:szCs w:val="24"/>
        </w:rPr>
      </w:pPr>
    </w:p>
    <w:p w14:paraId="3A5298C8" w14:textId="77777777" w:rsidR="00EF3304" w:rsidRPr="001B2852" w:rsidRDefault="00EF3304" w:rsidP="00EF3304">
      <w:pPr>
        <w:spacing w:after="0" w:line="240" w:lineRule="auto"/>
        <w:rPr>
          <w:rFonts w:ascii="Garamond" w:eastAsia="Arial" w:hAnsi="Garamond" w:cstheme="minorHAnsi"/>
          <w:sz w:val="24"/>
          <w:szCs w:val="24"/>
        </w:rPr>
      </w:pPr>
    </w:p>
    <w:bookmarkEnd w:id="0"/>
    <w:p w14:paraId="0DBBF78B" w14:textId="77777777" w:rsidR="00DA1D33" w:rsidRPr="001B2852" w:rsidRDefault="00DA1D33">
      <w:pPr>
        <w:rPr>
          <w:rFonts w:ascii="Garamond" w:hAnsi="Garamond"/>
          <w:sz w:val="24"/>
          <w:szCs w:val="24"/>
        </w:rPr>
      </w:pPr>
    </w:p>
    <w:sectPr w:rsidR="00DA1D33" w:rsidRPr="001B2852" w:rsidSect="00E2782F">
      <w:pgSz w:w="11906" w:h="16838"/>
      <w:pgMar w:top="1134" w:right="1274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E3C2D2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F40F32"/>
    <w:multiLevelType w:val="multilevel"/>
    <w:tmpl w:val="83F03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705742"/>
    <w:multiLevelType w:val="multilevel"/>
    <w:tmpl w:val="83F03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282323"/>
    <w:multiLevelType w:val="multilevel"/>
    <w:tmpl w:val="470C0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86475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1260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2118289">
    <w:abstractNumId w:val="1"/>
  </w:num>
  <w:num w:numId="4" w16cid:durableId="1128351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304"/>
    <w:rsid w:val="00065728"/>
    <w:rsid w:val="000859DA"/>
    <w:rsid w:val="00194F91"/>
    <w:rsid w:val="001A2099"/>
    <w:rsid w:val="001B2852"/>
    <w:rsid w:val="001D093C"/>
    <w:rsid w:val="00255891"/>
    <w:rsid w:val="00355C63"/>
    <w:rsid w:val="003F07AF"/>
    <w:rsid w:val="004B7813"/>
    <w:rsid w:val="004E5096"/>
    <w:rsid w:val="00574615"/>
    <w:rsid w:val="005949E4"/>
    <w:rsid w:val="005A0279"/>
    <w:rsid w:val="005C0C23"/>
    <w:rsid w:val="005D2DDC"/>
    <w:rsid w:val="005E2D9B"/>
    <w:rsid w:val="006045B9"/>
    <w:rsid w:val="00624BE3"/>
    <w:rsid w:val="006461EF"/>
    <w:rsid w:val="006A4400"/>
    <w:rsid w:val="006A7493"/>
    <w:rsid w:val="006B3979"/>
    <w:rsid w:val="006F66D9"/>
    <w:rsid w:val="00781A16"/>
    <w:rsid w:val="007C1E6A"/>
    <w:rsid w:val="00862476"/>
    <w:rsid w:val="00871D11"/>
    <w:rsid w:val="00926C43"/>
    <w:rsid w:val="00962EAE"/>
    <w:rsid w:val="009E2674"/>
    <w:rsid w:val="00A42470"/>
    <w:rsid w:val="00AD77EB"/>
    <w:rsid w:val="00B57E1B"/>
    <w:rsid w:val="00B74938"/>
    <w:rsid w:val="00BB5B60"/>
    <w:rsid w:val="00BB6086"/>
    <w:rsid w:val="00C53ABB"/>
    <w:rsid w:val="00C53CE3"/>
    <w:rsid w:val="00C65EA4"/>
    <w:rsid w:val="00C924E7"/>
    <w:rsid w:val="00CB6264"/>
    <w:rsid w:val="00CC6B26"/>
    <w:rsid w:val="00CD444C"/>
    <w:rsid w:val="00DA1D33"/>
    <w:rsid w:val="00DA34F5"/>
    <w:rsid w:val="00E2782F"/>
    <w:rsid w:val="00E4109C"/>
    <w:rsid w:val="00E60F34"/>
    <w:rsid w:val="00E66A57"/>
    <w:rsid w:val="00E75C29"/>
    <w:rsid w:val="00EB1F05"/>
    <w:rsid w:val="00EF3304"/>
    <w:rsid w:val="00F91BC3"/>
    <w:rsid w:val="00FE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15ACE"/>
  <w15:chartTrackingRefBased/>
  <w15:docId w15:val="{03632916-DFF1-49E1-B054-AEB1D09A4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33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C6B26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B285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B285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B2852"/>
    <w:rPr>
      <w:rFonts w:eastAsiaTheme="minorEastAsi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B285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B2852"/>
    <w:rPr>
      <w:rFonts w:eastAsiaTheme="minorEastAsia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DA34F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A34F5"/>
    <w:rPr>
      <w:color w:val="605E5C"/>
      <w:shd w:val="clear" w:color="auto" w:fill="E1DFDD"/>
    </w:rPr>
  </w:style>
  <w:style w:type="paragraph" w:styleId="Commarcadores">
    <w:name w:val="List Bullet"/>
    <w:basedOn w:val="Normal"/>
    <w:uiPriority w:val="99"/>
    <w:unhideWhenUsed/>
    <w:rsid w:val="00CD444C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37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17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8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414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2.camara.gov.br/legin/fed/lei/2022/lei-14435-4-agosto-2022-793074-norma-pl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BCB06-7B6F-4A3B-8DC7-A94221CDA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6</Pages>
  <Words>2131</Words>
  <Characters>11512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Juliana Cassol</cp:lastModifiedBy>
  <cp:revision>6</cp:revision>
  <cp:lastPrinted>2024-09-26T20:24:00Z</cp:lastPrinted>
  <dcterms:created xsi:type="dcterms:W3CDTF">2024-09-26T12:31:00Z</dcterms:created>
  <dcterms:modified xsi:type="dcterms:W3CDTF">2024-09-26T21:23:00Z</dcterms:modified>
</cp:coreProperties>
</file>