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</w:r>
      <w:r>
        <w:rPr>
          <w:rFonts w:asciiTheme="minorHAnsi" w:hAnsiTheme="minorHAnsi" w:cstheme="minorHAnsi"/>
          <w:b/>
          <w:sz w:val="36"/>
          <w:szCs w:val="36"/>
        </w:rPr>
      </w:r>
    </w:p>
    <w:p>
      <w:pPr>
        <w:pBdr/>
        <w:spacing/>
        <w:ind/>
        <w:jc w:val="center"/>
        <w:rPr>
          <w:rFonts w:ascii="Verdana" w:hAnsi="Verdana" w:cstheme="minorHAnsi"/>
          <w:b/>
          <w:bCs/>
          <w:sz w:val="28"/>
          <w:szCs w:val="28"/>
        </w:rPr>
      </w:pPr>
      <w:r>
        <w:rPr>
          <w:rFonts w:ascii="Verdana" w:hAnsi="Verdana" w:cstheme="minorHAnsi"/>
          <w:b/>
          <w:bCs/>
          <w:sz w:val="28"/>
          <w:szCs w:val="28"/>
        </w:rPr>
        <w:t xml:space="preserve">REQUERIMENTO </w:t>
      </w:r>
      <w:r>
        <w:rPr>
          <w:rFonts w:ascii="Verdana" w:hAnsi="Verdana" w:cstheme="minorHAnsi"/>
          <w:b/>
          <w:bCs/>
          <w:sz w:val="28"/>
          <w:szCs w:val="28"/>
        </w:rPr>
      </w:r>
    </w:p>
    <w:p>
      <w:pPr>
        <w:pBdr/>
        <w:spacing/>
        <w:ind/>
        <w:rPr>
          <w:rFonts w:ascii="Verdana" w:hAnsi="Verdana" w:cstheme="minorHAnsi"/>
          <w:b/>
          <w:bCs/>
          <w:sz w:val="28"/>
          <w:szCs w:val="28"/>
        </w:rPr>
      </w:pPr>
      <w:r>
        <w:rPr>
          <w:rFonts w:ascii="Verdana" w:hAnsi="Verdana" w:cstheme="minorHAnsi"/>
          <w:b/>
          <w:bCs/>
          <w:sz w:val="28"/>
          <w:szCs w:val="28"/>
        </w:rPr>
      </w:r>
      <w:r>
        <w:rPr>
          <w:rFonts w:ascii="Verdana" w:hAnsi="Verdana" w:cstheme="minorHAnsi"/>
          <w:b/>
          <w:bCs/>
          <w:sz w:val="28"/>
          <w:szCs w:val="28"/>
        </w:rPr>
      </w:r>
    </w:p>
    <w:p>
      <w:pPr>
        <w:keepLines w:val="true"/>
        <w:pBdr/>
        <w:spacing/>
        <w:ind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Verdana" w:hAnsi="Verdana" w:cs="Verdana"/>
        </w:rPr>
      </w:pPr>
      <w:r>
        <w:rPr>
          <w:rFonts w:ascii="Verdana" w:hAnsi="Verdana" w:eastAsia="Arial" w:cstheme="minorHAnsi"/>
        </w:rPr>
        <w:t xml:space="preserve">                   </w:t>
      </w:r>
      <w:r>
        <w:rPr>
          <w:rFonts w:ascii="Verdana" w:hAnsi="Verdana" w:eastAsia="Verdana" w:cs="Verdana"/>
        </w:rPr>
        <w:t xml:space="preserve"> A Vereadora que o presente subscreve, depois de observar as normas regimentais, </w:t>
      </w:r>
      <w:bookmarkStart w:id="0" w:name="OLE_LINK1"/>
      <w:r>
        <w:rPr>
          <w:rFonts w:ascii="Verdana" w:hAnsi="Verdana" w:eastAsia="Verdana" w:cs="Verdana"/>
          <w:b/>
        </w:rPr>
        <w:t xml:space="preserve">REQUER </w:t>
      </w:r>
      <w:r>
        <w:rPr>
          <w:rFonts w:ascii="Verdana" w:hAnsi="Verdana" w:eastAsia="Verdana" w:cs="Verdana"/>
          <w:b w:val="0"/>
          <w:bCs w:val="0"/>
          <w:color w:val="000000"/>
          <w:sz w:val="24"/>
        </w:rPr>
        <w:t xml:space="preserve"> à Mesa Diretora a reiteração do Requerimento nº 145/2025</w:t>
      </w:r>
      <w:r>
        <w:rPr>
          <w:rFonts w:ascii="Verdana" w:hAnsi="Verdana" w:eastAsia="Verdana" w:cs="Verdana"/>
          <w:color w:val="000000"/>
          <w:sz w:val="24"/>
        </w:rPr>
        <w:t xml:space="preserve">, protocolado em 16 de abril de 2025, tendo em vista a ausência de resposta até a presente data, solicitando a expedição de correspondência ao Excelentíssimo Senhor Chefe do Poder Executivo Municipal, por meio do órgão competente da Administração Pública M</w:t>
      </w:r>
      <w:r>
        <w:rPr>
          <w:rFonts w:ascii="Verdana" w:hAnsi="Verdana" w:eastAsia="Verdana" w:cs="Verdana"/>
          <w:color w:val="000000"/>
          <w:sz w:val="24"/>
        </w:rPr>
        <w:t xml:space="preserve">unicipal, para o envio de informações detalhadas acerca da aplicação da verba vinculada à Deliberação CIB RJ nº 9.124, de 12 de dezembro de 2024.</w:t>
      </w:r>
      <w:r>
        <w:rPr>
          <w:rFonts w:ascii="Verdana" w:hAnsi="Verdana" w:eastAsia="Verdana" w:cs="Verdan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A referida deliberação pactua a autorização para execução, no exercício de 2025, dos recursos financeiros transferidos pelo Fundo Estadual de Saúde aos municípios do Estado do Rio de Janeiro, no período entre 2021 e 2024, referentes ao Programa de Apoio ao</w:t>
      </w:r>
      <w:r>
        <w:rPr>
          <w:rFonts w:ascii="Verdana" w:hAnsi="Verdana" w:eastAsia="Verdana" w:cs="Verdana"/>
          <w:color w:val="000000"/>
          <w:sz w:val="24"/>
        </w:rPr>
        <w:t xml:space="preserve">s Hospitais Integrantes do SUS (PAHI), destinados a investimentos em obras, reformas e/ou aquisição de equipamentos.</w:t>
      </w:r>
      <w:r>
        <w:rPr>
          <w:rFonts w:ascii="Verdana" w:hAnsi="Verdana" w:eastAsia="Verdana" w:cs="Verdan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Verdana" w:hAnsi="Verdana" w:eastAsia="Verdana" w:cs="Verdana"/>
          <w:highlight w:val="none"/>
        </w:rPr>
      </w:pPr>
      <w:r>
        <w:rPr>
          <w:rFonts w:ascii="Verdana" w:hAnsi="Verdana" w:eastAsia="Verdana" w:cs="Verdana"/>
          <w:color w:val="000000"/>
          <w:sz w:val="24"/>
        </w:rPr>
        <w:t xml:space="preserve">Diante da ausência de resposta ao requerimento anterior, reitera-se a solicitação das seguintes informações atualizadas:</w:t>
      </w:r>
      <w:r>
        <w:rPr>
          <w:rFonts w:ascii="Verdana" w:hAnsi="Verdana" w:eastAsia="Verdana" w:cs="Verdana"/>
        </w:rPr>
      </w:r>
      <w:r>
        <w:rPr>
          <w:rFonts w:ascii="Verdana" w:hAnsi="Verdana" w:cs="Verdana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Verdana" w:hAnsi="Verdana" w:cs="Verdana"/>
          <w:sz w:val="24"/>
          <w:szCs w:val="24"/>
        </w:rPr>
      </w:pPr>
      <w:r>
        <w:rPr>
          <w:rFonts w:ascii="Verdana" w:hAnsi="Verdana" w:eastAsia="Verdana" w:cs="Verdana"/>
          <w:highlight w:val="none"/>
        </w:rPr>
      </w:r>
      <w:r>
        <w:rPr>
          <w:rFonts w:ascii="Verdana" w:hAnsi="Verdana" w:eastAsia="Verdana" w:cs="Verdana"/>
          <w:highlight w:val="none"/>
        </w:rPr>
      </w:r>
      <w:r>
        <w:rPr>
          <w:rFonts w:ascii="Verdana" w:hAnsi="Verdana" w:eastAsia="Verdana" w:cs="Verdana"/>
          <w:highlight w:val="none"/>
        </w:rPr>
      </w:r>
    </w:p>
    <w:p>
      <w:pPr>
        <w:pStyle w:val="791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Informações sobre o andamento do projeto executivo, incluindo cronograma de execução e data prevista para conclusão das obras;</w:t>
      </w:r>
      <w:r>
        <w:rPr>
          <w:rFonts w:ascii="Verdana" w:hAnsi="Verdana" w:eastAsia="Verdana" w:cs="Verdana"/>
        </w:rPr>
      </w:r>
    </w:p>
    <w:p>
      <w:pPr>
        <w:pStyle w:val="791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Planta atualizada do projeto conforme o escopo definido;</w:t>
      </w:r>
      <w:r>
        <w:rPr>
          <w:rFonts w:ascii="Verdana" w:hAnsi="Verdana" w:eastAsia="Verdana" w:cs="Verdana"/>
        </w:rPr>
      </w:r>
    </w:p>
    <w:p>
      <w:pPr>
        <w:pStyle w:val="791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Previsão para realização do processo licitatório das obras;</w:t>
      </w:r>
      <w:r>
        <w:rPr>
          <w:rFonts w:ascii="Verdana" w:hAnsi="Verdana" w:eastAsia="Verdana" w:cs="Verdana"/>
        </w:rPr>
      </w:r>
    </w:p>
    <w:p>
      <w:pPr>
        <w:pStyle w:val="791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Informações atualizadas acerca do memorial descritivo.</w:t>
      </w:r>
      <w:r>
        <w:rPr>
          <w:rFonts w:ascii="Verdana" w:hAnsi="Verdana" w:eastAsia="Verdana" w:cs="Verdana"/>
        </w:rPr>
      </w:r>
    </w:p>
    <w:p>
      <w:pPr>
        <w:pBdr/>
        <w:spacing w:line="276" w:lineRule="auto"/>
        <w:ind/>
        <w:jc w:val="both"/>
        <w:rPr>
          <w:rFonts w:ascii="Verdana" w:hAnsi="Verdana" w:eastAsia="Arial" w:cstheme="minorHAnsi"/>
        </w:rPr>
      </w:pPr>
      <w:r>
        <w:rPr>
          <w:rFonts w:ascii="Verdana" w:hAnsi="Verdana" w:eastAsia="Arial" w:cstheme="minorHAnsi"/>
        </w:rPr>
      </w:r>
      <w:r>
        <w:rPr>
          <w:rFonts w:ascii="Verdana" w:hAnsi="Verdana" w:eastAsia="Arial" w:cstheme="minorHAnsi"/>
        </w:rPr>
      </w:r>
      <w:r>
        <w:rPr>
          <w:rFonts w:ascii="Verdana" w:hAnsi="Verdana" w:eastAsia="Arial" w:cstheme="minorHAnsi"/>
        </w:rPr>
      </w:r>
    </w:p>
    <w:p>
      <w:pPr>
        <w:pBdr/>
        <w:spacing w:line="276" w:lineRule="auto"/>
        <w:ind/>
        <w:jc w:val="both"/>
        <w:rPr>
          <w:rFonts w:ascii="Verdana" w:hAnsi="Verdana" w:eastAsia="Arial" w:cstheme="minorHAnsi"/>
        </w:rPr>
      </w:pPr>
      <w:r>
        <w:rPr>
          <w:rFonts w:ascii="Verdana" w:hAnsi="Verdana" w:eastAsia="Arial" w:cstheme="minorHAnsi"/>
        </w:rPr>
      </w:r>
      <w:r>
        <w:rPr>
          <w:rFonts w:ascii="Verdana" w:hAnsi="Verdana" w:eastAsia="Arial" w:cstheme="minorHAnsi"/>
        </w:rPr>
      </w:r>
      <w:r>
        <w:rPr>
          <w:rFonts w:ascii="Verdana" w:hAnsi="Verdana" w:eastAsia="Arial" w:cstheme="minorHAns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Verdana" w:hAnsi="Verdana" w:eastAsia="Verdana" w:cs="Verdana"/>
          <w:b/>
          <w:bCs/>
          <w:color w:val="000000"/>
          <w:sz w:val="24"/>
          <w:szCs w:val="24"/>
          <w:highlight w:val="none"/>
        </w:rPr>
      </w:pPr>
      <w:r>
        <w:rPr>
          <w:rFonts w:ascii="Verdana" w:hAnsi="Verdana" w:eastAsia="Verdana" w:cs="Verdana"/>
          <w:b/>
          <w:color w:val="000000"/>
          <w:sz w:val="24"/>
        </w:rPr>
        <w:t xml:space="preserve">JUSTIFICATIVA</w:t>
      </w:r>
      <w:r>
        <w:rPr>
          <w:rFonts w:ascii="Verdana" w:hAnsi="Verdana" w:cs="Verdana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eastAsia="Verdana" w:cs="Verdana"/>
          <w:b/>
          <w:color w:val="000000"/>
          <w:sz w:val="24"/>
          <w:highlight w:val="none"/>
        </w:rPr>
      </w:r>
      <w:r>
        <w:rPr>
          <w:rFonts w:ascii="Verdana" w:hAnsi="Verdana" w:eastAsia="Verdana" w:cs="Verdana"/>
          <w:b/>
          <w:color w:val="000000"/>
          <w:sz w:val="24"/>
          <w:highlight w:val="none"/>
        </w:rPr>
      </w:r>
      <w:r>
        <w:rPr>
          <w:rFonts w:ascii="Verdana" w:hAnsi="Verdana" w:eastAsia="Verdana" w:cs="Verdana"/>
          <w:b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A presente reiteração fundamenta-se na necessidade de garantir resposta ao requerimento anteriormente apresentado, bem como assegurar a transparência e o controle na aplicação dos recursos públicos destinados ao Programa de Apoio aos Hospitais Integrantes </w:t>
      </w:r>
      <w:r>
        <w:rPr>
          <w:rFonts w:ascii="Verdana" w:hAnsi="Verdana" w:eastAsia="Verdana" w:cs="Verdana"/>
          <w:color w:val="000000"/>
          <w:sz w:val="24"/>
        </w:rPr>
        <w:t xml:space="preserve">do SUS (PAHI).</w:t>
      </w:r>
      <w:r>
        <w:rPr>
          <w:rFonts w:ascii="Verdana" w:hAnsi="Verdana" w:eastAsia="Verdana" w:cs="Verdan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A ausência de resposta compromete o exercício da função fiscalizadora do Poder Legislativo, sendo imprescindível o acesso às informações solicitadas para o devido acompanhamento da execução dos recursos públicos.</w:t>
      </w:r>
      <w:r>
        <w:rPr>
          <w:rFonts w:ascii="Verdana" w:hAnsi="Verdana" w:eastAsia="Verdana" w:cs="Verdan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Dessa forma, reforça-se a necessidade de atendimento urgente deste requerimento, a fim de garantir:</w:t>
      </w:r>
      <w:r>
        <w:rPr>
          <w:rFonts w:ascii="Verdana" w:hAnsi="Verdana" w:eastAsia="Verdana" w:cs="Verdana"/>
        </w:rPr>
      </w:r>
    </w:p>
    <w:p>
      <w:pPr>
        <w:pStyle w:val="791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A fiscalização e o controle da correta aplicação dos recursos públicos;</w:t>
      </w:r>
      <w:r>
        <w:rPr>
          <w:rFonts w:ascii="Verdana" w:hAnsi="Verdana" w:eastAsia="Verdana" w:cs="Verdana"/>
        </w:rPr>
      </w:r>
    </w:p>
    <w:p>
      <w:pPr>
        <w:pStyle w:val="791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A transparência na gestão e a devida prestação de contas à população;</w:t>
      </w:r>
      <w:r>
        <w:rPr>
          <w:rFonts w:ascii="Verdana" w:hAnsi="Verdana" w:eastAsia="Verdana" w:cs="Verdana"/>
        </w:rPr>
      </w:r>
    </w:p>
    <w:p>
      <w:pPr>
        <w:pStyle w:val="791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A melhoria dos serviços de saúde por meio da adequada aplicação dos investimentos;</w:t>
      </w:r>
      <w:r>
        <w:rPr>
          <w:rFonts w:ascii="Verdana" w:hAnsi="Verdana" w:eastAsia="Verdana" w:cs="Verdana"/>
        </w:rPr>
      </w:r>
    </w:p>
    <w:p>
      <w:pPr>
        <w:pStyle w:val="791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O cumprimento das normas legais e administrativas vigentes.</w:t>
      </w:r>
      <w:r>
        <w:rPr>
          <w:rFonts w:ascii="Verdana" w:hAnsi="Verdana" w:eastAsia="Verdana" w:cs="Verdan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  <w:color w:val="000000"/>
          <w:sz w:val="24"/>
        </w:rPr>
        <w:t xml:space="preserve">Assim, a presente reiteração visa assegurar o acesso às informações já solicitadas, permitindo o pleno exercício das atribuições legais desta Casa Legislativa.</w:t>
      </w:r>
      <w:r>
        <w:rPr>
          <w:rFonts w:ascii="Verdana" w:hAnsi="Verdana" w:eastAsia="Verdana" w:cs="Verdana"/>
        </w:rPr>
      </w:r>
    </w:p>
    <w:p>
      <w:pPr>
        <w:pBdr/>
        <w:spacing w:line="276" w:lineRule="auto"/>
        <w:ind/>
        <w:jc w:val="both"/>
        <w:rPr>
          <w:rFonts w:ascii="Verdana" w:hAnsi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>
      <w:pPr>
        <w:pBdr/>
        <w:spacing/>
        <w:ind w:right="283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</w:r>
      <w:r>
        <w:rPr>
          <w:rFonts w:ascii="Verdana" w:hAnsi="Verdana" w:cstheme="minorHAnsi"/>
          <w:b/>
        </w:rPr>
      </w:r>
    </w:p>
    <w:p>
      <w:pPr>
        <w:pBdr/>
        <w:spacing/>
        <w:ind w:right="283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</w:r>
      <w:r>
        <w:rPr>
          <w:rFonts w:ascii="Verdana" w:hAnsi="Verdana" w:cstheme="minorHAnsi"/>
          <w:b/>
        </w:rPr>
      </w:r>
    </w:p>
    <w:p>
      <w:pPr>
        <w:pBdr/>
        <w:spacing/>
        <w:ind w:right="283" w:left="1134"/>
        <w:jc w:val="center"/>
        <w:rPr>
          <w:rFonts w:ascii="Verdana" w:hAnsi="Verdana" w:cstheme="minorHAnsi"/>
        </w:rPr>
      </w:pPr>
      <w:r>
        <w:rPr>
          <w:rFonts w:ascii="Verdana" w:hAnsi="Verdana" w:cstheme="minorHAnsi"/>
          <w:b/>
          <w:highlight w:val="none"/>
        </w:rPr>
      </w:r>
      <w:r>
        <w:rPr>
          <w:rFonts w:ascii="Verdana" w:hAnsi="Verdana" w:cstheme="minorHAnsi"/>
          <w:b/>
          <w:highlight w:val="none"/>
        </w:rPr>
      </w:r>
      <w:r>
        <w:rPr>
          <w:rFonts w:ascii="Verdana" w:hAnsi="Verdana" w:cstheme="minorHAnsi"/>
          <w:b/>
          <w:highlight w:val="none"/>
        </w:rPr>
      </w:r>
    </w:p>
    <w:p>
      <w:pPr>
        <w:pBdr/>
        <w:spacing/>
        <w:ind w:right="283" w:left="1134"/>
        <w:jc w:val="center"/>
        <w:rPr>
          <w:rFonts w:ascii="Verdana" w:hAnsi="Verdana" w:cstheme="minorHAnsi"/>
          <w:b/>
          <w:bCs/>
          <w:highlight w:val="none"/>
        </w:rPr>
      </w:pPr>
      <w:r>
        <w:rPr>
          <w:rFonts w:ascii="Verdana" w:hAnsi="Verdana" w:cstheme="minorHAnsi"/>
          <w:b/>
        </w:rPr>
        <w:t xml:space="preserve">Dra Mayara Rezende</w:t>
      </w:r>
      <w:r>
        <w:rPr>
          <w:rFonts w:ascii="Verdana" w:hAnsi="Verdana" w:cstheme="minorHAnsi"/>
        </w:rPr>
      </w:r>
    </w:p>
    <w:p>
      <w:pPr>
        <w:pBdr/>
        <w:spacing/>
        <w:ind w:right="283" w:left="1134"/>
        <w:jc w:val="center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Vereadora - autora</w:t>
      </w:r>
      <w:r>
        <w:rPr>
          <w:rFonts w:ascii="Verdana" w:hAnsi="Verdana" w:cstheme="minorHAnsi"/>
        </w:rPr>
      </w:r>
    </w:p>
    <w:p>
      <w:pPr>
        <w:pBdr/>
        <w:spacing/>
        <w:ind w:right="283" w:left="1134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7" w:right="1701" w:bottom="1417" w:left="1701" w:header="284" w:footer="6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</w:p>
  <w:p>
    <w:pPr>
      <w:pStyle w:val="785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Rodovia Christino José da Silva Júnior, s/n. Virgem Santa</w:t>
    </w:r>
    <w:r>
      <w:rPr>
        <w:rFonts w:ascii="Verdana" w:hAnsi="Verdana"/>
        <w:sz w:val="16"/>
        <w:szCs w:val="16"/>
      </w:rPr>
    </w:r>
  </w:p>
  <w:p>
    <w:pPr>
      <w:pStyle w:val="785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Macaé-RJ. CEP: 27.948-010                                 </w:t>
    </w:r>
    <w:r>
      <w:rPr>
        <w:rFonts w:ascii="Verdana" w:hAnsi="Verdana"/>
        <w:sz w:val="16"/>
        <w:szCs w:val="16"/>
      </w:rPr>
    </w:r>
  </w:p>
  <w:p>
    <w:pPr>
      <w:pStyle w:val="785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Telefone/Fax (022) 2772-4681</w:t>
    </w:r>
    <w:r>
      <w:rPr>
        <w:rFonts w:ascii="Verdana" w:hAnsi="Verdana"/>
        <w:sz w:val="16"/>
        <w:szCs w:val="16"/>
      </w:rPr>
    </w:r>
  </w:p>
  <w:p>
    <w:pPr>
      <w:pStyle w:val="785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hyperlink r:id="rId1" w:tooltip="mailto:secretaria@cmmace.rj.gov.br" w:history="1">
      <w:r>
        <w:rPr>
          <w:rStyle w:val="788"/>
          <w:rFonts w:ascii="Verdana" w:hAnsi="Verdana"/>
          <w:sz w:val="16"/>
          <w:szCs w:val="16"/>
        </w:rPr>
        <w:t xml:space="preserve">secretaria@cmmace.rj.gov.br</w:t>
      </w:r>
    </w:hyperlink>
    <w:r/>
    <w:r>
      <w:rPr>
        <w:rFonts w:ascii="Verdana" w:hAnsi="Verdana"/>
        <w:sz w:val="16"/>
        <w:szCs w:val="16"/>
      </w:rPr>
    </w:r>
  </w:p>
  <w:p>
    <w:pPr>
      <w:pStyle w:val="78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pBdr/>
      <w:tabs>
        <w:tab w:val="left" w:leader="none" w:pos="2160"/>
        <w:tab w:val="center" w:leader="none" w:pos="3519"/>
      </w:tabs>
      <w:spacing/>
      <w:ind/>
      <w:rPr>
        <w:rFonts w:ascii="Verdana" w:hAnsi="Verdana"/>
        <w:b/>
      </w:rPr>
    </w:pPr>
    <w:r>
      <w:rPr>
        <w:rFonts w:ascii="Verdana" w:hAnsi="Verdana"/>
        <w:sz w:val="16"/>
        <w:szCs w:val="16"/>
      </w:rPr>
      <w:tab/>
      <w:t xml:space="preserve">                             </w:t>
    </w: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88010" cy="537845"/>
              <wp:effectExtent l="0" t="0" r="254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24782270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88010" cy="537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30pt;height:42.3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</w:p>
  <w:p>
    <w:pPr>
      <w:pStyle w:val="785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</w:p>
  <w:p>
    <w:pPr>
      <w:pStyle w:val="785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</w:p>
  <w:p>
    <w:pPr>
      <w:pStyle w:val="785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do Petróleo</w:t>
    </w:r>
    <w:r>
      <w:rPr>
        <w:rFonts w:ascii="Verdana" w:hAnsi="Verdana"/>
        <w:b/>
        <w:sz w:val="16"/>
        <w:szCs w:val="16"/>
      </w:rPr>
    </w:r>
  </w:p>
  <w:p>
    <w:pPr>
      <w:pStyle w:val="785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</w:p>
  <w:p>
    <w:pPr>
      <w:pStyle w:val="78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80"/>
    <w:next w:val="78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80"/>
    <w:next w:val="78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80"/>
    <w:next w:val="78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80"/>
    <w:next w:val="78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80"/>
    <w:next w:val="78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80"/>
    <w:next w:val="78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0"/>
    <w:next w:val="78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0"/>
    <w:next w:val="78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0"/>
    <w:next w:val="78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81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8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8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8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80"/>
    <w:next w:val="78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8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80"/>
    <w:next w:val="78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0"/>
    <w:next w:val="78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8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0"/>
    <w:next w:val="78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8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8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1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78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81"/>
    <w:link w:val="785"/>
    <w:uiPriority w:val="99"/>
    <w:pPr>
      <w:pBdr/>
      <w:spacing/>
      <w:ind/>
    </w:pPr>
  </w:style>
  <w:style w:type="character" w:styleId="178">
    <w:name w:val="Footer Char"/>
    <w:basedOn w:val="781"/>
    <w:link w:val="786"/>
    <w:uiPriority w:val="99"/>
    <w:pPr>
      <w:pBdr/>
      <w:spacing/>
      <w:ind/>
    </w:pPr>
  </w:style>
  <w:style w:type="paragraph" w:styleId="179">
    <w:name w:val="Caption"/>
    <w:basedOn w:val="780"/>
    <w:next w:val="78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1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78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0"/>
    <w:next w:val="780"/>
    <w:uiPriority w:val="39"/>
    <w:unhideWhenUsed/>
    <w:pPr>
      <w:pBdr/>
      <w:spacing w:after="100"/>
      <w:ind/>
    </w:pPr>
  </w:style>
  <w:style w:type="paragraph" w:styleId="189">
    <w:name w:val="toc 2"/>
    <w:basedOn w:val="780"/>
    <w:next w:val="780"/>
    <w:uiPriority w:val="39"/>
    <w:unhideWhenUsed/>
    <w:pPr>
      <w:pBdr/>
      <w:spacing w:after="100"/>
      <w:ind w:left="220"/>
    </w:pPr>
  </w:style>
  <w:style w:type="paragraph" w:styleId="190">
    <w:name w:val="toc 3"/>
    <w:basedOn w:val="780"/>
    <w:next w:val="780"/>
    <w:uiPriority w:val="39"/>
    <w:unhideWhenUsed/>
    <w:pPr>
      <w:pBdr/>
      <w:spacing w:after="100"/>
      <w:ind w:left="440"/>
    </w:pPr>
  </w:style>
  <w:style w:type="paragraph" w:styleId="191">
    <w:name w:val="toc 4"/>
    <w:basedOn w:val="780"/>
    <w:next w:val="780"/>
    <w:uiPriority w:val="39"/>
    <w:unhideWhenUsed/>
    <w:pPr>
      <w:pBdr/>
      <w:spacing w:after="100"/>
      <w:ind w:left="660"/>
    </w:pPr>
  </w:style>
  <w:style w:type="paragraph" w:styleId="192">
    <w:name w:val="toc 5"/>
    <w:basedOn w:val="780"/>
    <w:next w:val="780"/>
    <w:uiPriority w:val="39"/>
    <w:unhideWhenUsed/>
    <w:pPr>
      <w:pBdr/>
      <w:spacing w:after="100"/>
      <w:ind w:left="880"/>
    </w:pPr>
  </w:style>
  <w:style w:type="paragraph" w:styleId="193">
    <w:name w:val="toc 6"/>
    <w:basedOn w:val="780"/>
    <w:next w:val="780"/>
    <w:uiPriority w:val="39"/>
    <w:unhideWhenUsed/>
    <w:pPr>
      <w:pBdr/>
      <w:spacing w:after="100"/>
      <w:ind w:left="1100"/>
    </w:pPr>
  </w:style>
  <w:style w:type="paragraph" w:styleId="194">
    <w:name w:val="toc 7"/>
    <w:basedOn w:val="780"/>
    <w:next w:val="780"/>
    <w:uiPriority w:val="39"/>
    <w:unhideWhenUsed/>
    <w:pPr>
      <w:pBdr/>
      <w:spacing w:after="100"/>
      <w:ind w:left="1320"/>
    </w:pPr>
  </w:style>
  <w:style w:type="paragraph" w:styleId="195">
    <w:name w:val="toc 8"/>
    <w:basedOn w:val="780"/>
    <w:next w:val="780"/>
    <w:uiPriority w:val="39"/>
    <w:unhideWhenUsed/>
    <w:pPr>
      <w:pBdr/>
      <w:spacing w:after="100"/>
      <w:ind w:left="1540"/>
    </w:pPr>
  </w:style>
  <w:style w:type="paragraph" w:styleId="196">
    <w:name w:val="toc 9"/>
    <w:basedOn w:val="780"/>
    <w:next w:val="780"/>
    <w:uiPriority w:val="39"/>
    <w:unhideWhenUsed/>
    <w:pPr>
      <w:pBdr/>
      <w:spacing w:after="100"/>
      <w:ind w:left="1760"/>
    </w:pPr>
  </w:style>
  <w:style w:type="character" w:styleId="197">
    <w:name w:val="Placeholder Text"/>
    <w:basedOn w:val="781"/>
    <w:uiPriority w:val="99"/>
    <w:semiHidden/>
    <w:pPr>
      <w:pBdr/>
      <w:spacing/>
      <w:ind/>
    </w:pPr>
    <w:rPr>
      <w:color w:val="666666"/>
    </w:rPr>
  </w:style>
  <w:style w:type="paragraph" w:styleId="207">
    <w:name w:val="TOC Heading"/>
    <w:uiPriority w:val="39"/>
    <w:unhideWhenUsed/>
    <w:pPr>
      <w:pBdr/>
      <w:spacing/>
      <w:ind/>
    </w:pPr>
  </w:style>
  <w:style w:type="paragraph" w:styleId="208">
    <w:name w:val="table of figures"/>
    <w:basedOn w:val="780"/>
    <w:next w:val="780"/>
    <w:uiPriority w:val="99"/>
    <w:unhideWhenUsed/>
    <w:pPr>
      <w:pBdr/>
      <w:spacing w:after="0" w:afterAutospacing="0"/>
      <w:ind/>
    </w:pPr>
  </w:style>
  <w:style w:type="paragraph" w:styleId="780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</w:rPr>
  </w:style>
  <w:style w:type="character" w:styleId="781" w:default="1">
    <w:name w:val="Default Paragraph Font"/>
    <w:uiPriority w:val="1"/>
    <w:semiHidden/>
    <w:unhideWhenUsed/>
    <w:pPr>
      <w:pBdr/>
      <w:spacing/>
      <w:ind/>
    </w:pPr>
  </w:style>
  <w:style w:type="table" w:styleId="78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3" w:default="1">
    <w:name w:val="No List"/>
    <w:uiPriority w:val="99"/>
    <w:semiHidden/>
    <w:unhideWhenUsed/>
    <w:pPr>
      <w:pBdr/>
      <w:spacing/>
      <w:ind/>
    </w:pPr>
  </w:style>
  <w:style w:type="paragraph" w:styleId="784">
    <w:name w:val="Normal (Web)"/>
    <w:basedOn w:val="780"/>
    <w:uiPriority w:val="99"/>
    <w:unhideWhenUsed/>
    <w:pPr>
      <w:pBdr/>
      <w:spacing w:after="100" w:afterAutospacing="1" w:before="100" w:beforeAutospacing="1"/>
      <w:ind/>
    </w:pPr>
  </w:style>
  <w:style w:type="paragraph" w:styleId="785">
    <w:name w:val="Header"/>
    <w:basedOn w:val="780"/>
    <w:link w:val="789"/>
    <w:unhideWhenUsed/>
    <w:qFormat/>
    <w:pPr>
      <w:pBdr/>
      <w:tabs>
        <w:tab w:val="center" w:leader="none" w:pos="4252"/>
        <w:tab w:val="right" w:leader="none" w:pos="8504"/>
      </w:tabs>
      <w:spacing/>
      <w:ind/>
    </w:pPr>
  </w:style>
  <w:style w:type="paragraph" w:styleId="786">
    <w:name w:val="Footer"/>
    <w:basedOn w:val="780"/>
    <w:link w:val="790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787">
    <w:name w:val="Strong"/>
    <w:basedOn w:val="781"/>
    <w:uiPriority w:val="22"/>
    <w:qFormat/>
    <w:pPr>
      <w:pBdr/>
      <w:spacing/>
      <w:ind/>
    </w:pPr>
    <w:rPr>
      <w:b/>
      <w:bCs/>
    </w:rPr>
  </w:style>
  <w:style w:type="character" w:styleId="788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789" w:customStyle="1">
    <w:name w:val="Cabeçalho Char"/>
    <w:basedOn w:val="781"/>
    <w:link w:val="785"/>
    <w:pPr>
      <w:pBdr/>
      <w:spacing/>
      <w:ind/>
    </w:pPr>
  </w:style>
  <w:style w:type="character" w:styleId="790" w:customStyle="1">
    <w:name w:val="Rodapé Char"/>
    <w:basedOn w:val="781"/>
    <w:link w:val="786"/>
    <w:uiPriority w:val="99"/>
    <w:pPr>
      <w:pBdr/>
      <w:spacing/>
      <w:ind/>
    </w:pPr>
  </w:style>
  <w:style w:type="paragraph" w:styleId="791">
    <w:name w:val="List Paragraph"/>
    <w:basedOn w:val="780"/>
    <w:uiPriority w:val="99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mailto:secretaria@cmmace.rj.gov.br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Perifa Brasil</dc:creator>
  <cp:keywords/>
  <dc:description/>
  <cp:revision>4</cp:revision>
  <dcterms:created xsi:type="dcterms:W3CDTF">2025-03-31T15:01:00Z</dcterms:created>
  <dcterms:modified xsi:type="dcterms:W3CDTF">2026-03-18T17:34:07Z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</Properties>
</file>