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hd w:val="clear" w:color="auto" w:fill="FFFFFF"/>
        <w:spacing w:after="0" w:line="240" w:lineRule="auto"/>
        <w:ind w:right="57"/>
        <w:jc w:val="both"/>
        <w:outlineLvl w:val="0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hd w:val="clear" w:color="auto" w:fill="FFFFFF"/>
        <w:spacing w:after="0" w:line="240" w:lineRule="auto"/>
        <w:ind w:right="57"/>
        <w:jc w:val="both"/>
        <w:outlineLvl w:val="0"/>
        <w:rPr>
          <w:rFonts w:ascii="Bookman Old Style" w:eastAsia="Times New Roman" w:hAnsi="Bookman Old Style" w:cs="Times New Roman"/>
          <w:bCs/>
          <w:kern w:val="36"/>
          <w:sz w:val="24"/>
          <w:szCs w:val="24"/>
          <w:lang w:eastAsia="pt-BR"/>
        </w:rPr>
      </w:pPr>
    </w:p>
    <w:p w:rsidR="007A72CB" w:rsidRDefault="007A72CB" w:rsidP="007A72CB">
      <w:pPr>
        <w:shd w:val="clear" w:color="auto" w:fill="FFFFFF"/>
        <w:spacing w:after="0" w:line="240" w:lineRule="auto"/>
        <w:ind w:left="57" w:right="57"/>
        <w:jc w:val="both"/>
        <w:outlineLvl w:val="0"/>
        <w:rPr>
          <w:rFonts w:ascii="Bookman Old Style" w:eastAsia="Times New Roman" w:hAnsi="Bookman Old Style" w:cs="Times New Roman"/>
          <w:bCs/>
          <w:kern w:val="36"/>
          <w:sz w:val="24"/>
          <w:szCs w:val="24"/>
          <w:lang w:eastAsia="pt-BR"/>
        </w:rPr>
      </w:pPr>
      <w:r w:rsidRPr="00FA1384">
        <w:rPr>
          <w:rFonts w:ascii="Bookman Old Style" w:eastAsia="Times New Roman" w:hAnsi="Bookman Old Style" w:cs="Times New Roman"/>
          <w:bCs/>
          <w:kern w:val="36"/>
          <w:sz w:val="24"/>
          <w:szCs w:val="24"/>
          <w:lang w:eastAsia="pt-BR"/>
        </w:rPr>
        <w:t>PROJETO DE LEI Nº</w:t>
      </w:r>
    </w:p>
    <w:p w:rsidR="00E679F5" w:rsidRPr="00FA1384" w:rsidRDefault="00E679F5" w:rsidP="007A72CB">
      <w:pPr>
        <w:shd w:val="clear" w:color="auto" w:fill="FFFFFF"/>
        <w:spacing w:after="0" w:line="240" w:lineRule="auto"/>
        <w:ind w:left="57" w:right="57"/>
        <w:jc w:val="both"/>
        <w:outlineLvl w:val="0"/>
        <w:rPr>
          <w:rFonts w:ascii="Bookman Old Style" w:eastAsia="Times New Roman" w:hAnsi="Bookman Old Style" w:cs="Times New Roman"/>
          <w:bCs/>
          <w:kern w:val="36"/>
          <w:sz w:val="24"/>
          <w:szCs w:val="24"/>
          <w:lang w:eastAsia="pt-BR"/>
        </w:rPr>
      </w:pPr>
      <w:bookmarkStart w:id="0" w:name="_GoBack"/>
      <w:bookmarkEnd w:id="0"/>
    </w:p>
    <w:p w:rsidR="007A72CB" w:rsidRPr="00FA1384" w:rsidRDefault="007A72CB" w:rsidP="007A72CB">
      <w:pPr>
        <w:shd w:val="clear" w:color="auto" w:fill="FFFFFF"/>
        <w:spacing w:after="0" w:line="240" w:lineRule="auto"/>
        <w:ind w:left="57" w:right="57"/>
        <w:jc w:val="both"/>
        <w:outlineLvl w:val="0"/>
        <w:rPr>
          <w:rFonts w:ascii="Bookman Old Style" w:eastAsia="Times New Roman" w:hAnsi="Bookman Old Style" w:cs="Times New Roman"/>
          <w:b/>
          <w:bCs/>
          <w:kern w:val="36"/>
          <w:sz w:val="24"/>
          <w:szCs w:val="24"/>
          <w:lang w:eastAsia="pt-BR"/>
        </w:rPr>
      </w:pPr>
    </w:p>
    <w:p w:rsidR="007A72CB" w:rsidRPr="00FA1384" w:rsidRDefault="007A72CB" w:rsidP="007A72CB">
      <w:pPr>
        <w:shd w:val="clear" w:color="auto" w:fill="FFFFFF"/>
        <w:spacing w:after="0" w:line="240" w:lineRule="auto"/>
        <w:ind w:left="2832" w:right="57" w:firstLine="708"/>
        <w:jc w:val="both"/>
        <w:outlineLvl w:val="0"/>
        <w:rPr>
          <w:rFonts w:ascii="Bookman Old Style" w:eastAsia="Times New Roman" w:hAnsi="Bookman Old Style" w:cs="Times New Roman"/>
          <w:b/>
          <w:bCs/>
          <w:i/>
          <w:kern w:val="36"/>
          <w:sz w:val="26"/>
          <w:szCs w:val="26"/>
          <w:lang w:eastAsia="pt-BR"/>
        </w:rPr>
      </w:pPr>
      <w:r w:rsidRPr="00FA1384">
        <w:rPr>
          <w:rFonts w:ascii="Bookman Old Style" w:eastAsia="Times New Roman" w:hAnsi="Bookman Old Style" w:cs="Times New Roman"/>
          <w:b/>
          <w:bCs/>
          <w:i/>
          <w:kern w:val="36"/>
          <w:sz w:val="26"/>
          <w:szCs w:val="26"/>
          <w:lang w:eastAsia="pt-BR"/>
        </w:rPr>
        <w:t xml:space="preserve">Dispõe sobre a substituição do uso de sacos e sacolas plásticos e dá outras providências. </w:t>
      </w:r>
    </w:p>
    <w:p w:rsidR="007A72CB" w:rsidRPr="00FA1384" w:rsidRDefault="007A72CB" w:rsidP="007A72CB">
      <w:pPr>
        <w:shd w:val="clear" w:color="auto" w:fill="FFFFFF"/>
        <w:spacing w:after="0" w:line="240" w:lineRule="auto"/>
        <w:ind w:left="2832" w:right="57" w:firstLine="708"/>
        <w:jc w:val="both"/>
        <w:outlineLvl w:val="0"/>
        <w:rPr>
          <w:rFonts w:ascii="Bookman Old Style" w:eastAsia="Times New Roman" w:hAnsi="Bookman Old Style" w:cs="Times New Roman"/>
          <w:b/>
          <w:bCs/>
          <w:kern w:val="36"/>
          <w:sz w:val="24"/>
          <w:szCs w:val="24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/>
        <w:jc w:val="both"/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Art. 1º</w:t>
      </w:r>
      <w:r w:rsidRPr="00FA1384"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  <w:t xml:space="preserve"> 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As empresas de direito público e de direito privado com atuação no município de Nova Prata, que utilizam sacolas plásticas e sacos plásticos para o acondicionamento e transporte de produtos e mercadorias em geral, têm o </w:t>
      </w:r>
      <w:r w:rsidRPr="009337C6"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  <w:t>prazo de vinte e quatro (24) meses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para substituí-los por sacos e sacolas ecológicos ou outros conforme disposto nesta Lei</w:t>
      </w:r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§ 1º. Entendem-se por sacolas e sacos plásticos quaisquer invólucros manufaturados com resina petroquímica, excluindo-se as embalagens originais das mercadorias.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§ 2º. A partir da entrada em vigor desta Lei os estabelecimentos poderão cobrar por unidade de saco ou sacola plásticos.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§ 3º. O estabelecimento poderá oferecer outro tipo de embalagem para ser vendida, ou doada, ao consumidor, de características mais resistentes e de uso duradouro para reutilização em compras posteriores podendo ser: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I – sacos e sacolas;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II – bolsas; 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III – caixas, ou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IV – outros;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V – atendidas as disposições do caput, e no caso de entregas, os estabelecimentos poderão oferecer gratuitamente embalagens para o transporte dos produtos adquiridos pelos clientes.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§ 4º. Excluem-se da proibição prevista no caput deste artigo os sacos fabricados exclusivamente para acondicionamento dos resíduos sólidos domésticos a serem recolhidos pelo serviço público ou por empresa a serviço do Município.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Art. 2º Os estabelecimentos privados e públicos devem estimular o uso de sacolas</w:t>
      </w:r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,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de sacos e </w:t>
      </w:r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de 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outros reutilizáveis cuja confecção atenda os termos do § 3º do Art. 1º, </w:t>
      </w:r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além d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e integrar campanhas nesse sentido a serem promovidas sob a orientação do poder público.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Parágrafo único. Admitidas todas iniciativas que tenham como objetivos os propostos nesta Lei, independentemente de autorização.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Art. 3º 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Sacolas e sacos ecológicos são aqueles ambientalmente corretos, confeccionados prioritariamente com papel, tecido ou material biodegradável.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lastRenderedPageBreak/>
        <w:t xml:space="preserve">Parágrafo Único. O plástico, quando contido na composição das sacolas e sacos ecológicos, não deve impactar qualitativamente e/ou quantitativamente no composto </w:t>
      </w:r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orgânico 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quando da compostagem, bem como impactar negativamente o ambiente, incluíd</w:t>
      </w:r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os os cursos hídricos e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a paisagem.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Art. 4º As sacolas e os sacos plásticos a que se refere esta Lei devem atender aos seguintes requisitos:</w:t>
      </w:r>
    </w:p>
    <w:p w:rsidR="007A72CB" w:rsidRPr="00FA1384" w:rsidRDefault="007A72CB" w:rsidP="007A72CB">
      <w:pPr>
        <w:spacing w:after="0" w:line="240" w:lineRule="auto"/>
        <w:ind w:left="57" w:right="57" w:firstLine="708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I – </w:t>
      </w:r>
      <w:proofErr w:type="spellStart"/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bio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degradar</w:t>
      </w:r>
      <w:proofErr w:type="spellEnd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ou desintegrar por oxidação em fragmentos em um período de tempo não superior a dezoitos meses; e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II – </w:t>
      </w:r>
      <w:proofErr w:type="spellStart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biodegradar</w:t>
      </w:r>
      <w:proofErr w:type="spellEnd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, tendo como resultado dióxido de carbono – CO2, água e biomassa.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Parágrafo Único. Os produtos resultantes da </w:t>
      </w:r>
      <w:proofErr w:type="spellStart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biodegradação</w:t>
      </w:r>
      <w:proofErr w:type="spellEnd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não poderão ser</w:t>
      </w:r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poluidores,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tóxicos ou danosos em qualquer sentido </w:t>
      </w:r>
      <w:r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e deverão se integrar 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ao </w:t>
      </w:r>
      <w:r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solo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. 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87385A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Art. 5º 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Os estabelecimentos de que trata esta Lei, dentro do prazo de substituição a que se refere o art. 1º, deverão </w:t>
      </w:r>
      <w:r w:rsidR="0087385A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atender o disposto no § 3º e incisos do mesmo artigo. 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Art. 6º 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Fica autorizado o Poder Público, através da administração direta e indireta, a promover campanhas de conscientização acerca dos danos causados pelas sacolas e sacos plásticos, bem como os ganhos ambientais da utilização do plástico </w:t>
      </w:r>
      <w:proofErr w:type="spellStart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oxi</w:t>
      </w:r>
      <w:proofErr w:type="spellEnd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-biodegradável ou biodegradável, </w:t>
      </w:r>
      <w:r w:rsidR="00E679F5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podendo organizar acordos de cooperação, 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convênios e parcerias com organizações não-governamentais e congêneres sem fins lucrativos, estabelecimentos</w:t>
      </w:r>
      <w:r w:rsidR="00E679F5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industriais,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comerciais e similares. 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Art. 7º O Poder Público poderá instituir Programa Municipal de Conscientização sobre os Resíduos Sólidos e, em particular, sobre a Redução do Uso do Plástico, com o objetivo de instituir medidas de incentivo à não geração de resíduos plásticos.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Parágrafo único. O Município poderá definir penalidades relativamente ao descumprimento dos dispositivos desta Lei. 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Art. 8º O Poder Público poderá regulamentar esta Lei naquilo que couber a fim de dirimir dúvidas quanto sua aplicação e amplitude.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Art. 9º Esta Lei entrará em vigor na data da sua publicação.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Nova Prata,</w:t>
      </w: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E679F5" w:rsidRDefault="00E679F5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7A72CB" w:rsidRDefault="007A72CB" w:rsidP="007A72C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  <w:t>JUSTIFICATIVA</w:t>
      </w:r>
    </w:p>
    <w:p w:rsidR="007A72CB" w:rsidRDefault="007A72CB" w:rsidP="007A72C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>
        <w:rPr>
          <w:rFonts w:ascii="Bookman Old Style" w:hAnsi="Bookman Old Style"/>
          <w:sz w:val="24"/>
          <w:szCs w:val="24"/>
        </w:rPr>
        <w:tab/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Por este Projeto de Lei, os estabelecimentos de qualquer natureza usuários de embalagens plásticas em um de seus fins, devem incentivar o uso de embalagens reutilizáveis ou biodegradáveis; embalagens produzidas com materiais resistentes à corrosão que normalmente dão suporte ao acondicionamento e transporte de produtos e mercadorias. Registre-se que a Lei não se aplica a embalagens originais de mercadorias, embalagens de alimentos vendidos a granel e embalagens de alimentos que vazam água.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A proibição efetiva da venda e distribuição de sacos e sacolas plásticos desafiaria positivamente e levaria à busca por embalagens feitas com materiais reutilizáveis, biodegradáveis ou novas formas – aí reside a criatividade – com menor potencial poluidor.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Sem dúvida polêmico, o tema das embalagens plásticas chegou ao Supremo Tribunal Federal, que considerou legal e constitucional a competência dos municípios para tratarem da gestão.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  <w:t>Por unanimidade de votos os Ministros do Supremo Tribunal Federal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</w:t>
      </w:r>
      <w:r w:rsidRPr="00C163F2"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  <w:t>decidiram que “as Leis municipais que obrigam a substituição de sacos e sacolas plásticos por outros feitos com material biodegradável são constitucionais”.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</w:t>
      </w:r>
      <w:r w:rsidRPr="00E679F5"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  <w:t xml:space="preserve">De acordo com voto do </w:t>
      </w:r>
      <w:r w:rsidRPr="00E679F5">
        <w:rPr>
          <w:rFonts w:ascii="Bookman Old Style" w:eastAsia="Times New Roman" w:hAnsi="Bookman Old Style" w:cs="Times New Roman"/>
          <w:b/>
          <w:sz w:val="24"/>
          <w:szCs w:val="24"/>
          <w:u w:val="single"/>
          <w:shd w:val="clear" w:color="auto" w:fill="FFFFFF"/>
          <w:lang w:eastAsia="pt-BR"/>
        </w:rPr>
        <w:t xml:space="preserve">Relator, Ministro Luiz </w:t>
      </w:r>
      <w:proofErr w:type="spellStart"/>
      <w:r w:rsidRPr="00E679F5">
        <w:rPr>
          <w:rFonts w:ascii="Bookman Old Style" w:eastAsia="Times New Roman" w:hAnsi="Bookman Old Style" w:cs="Times New Roman"/>
          <w:b/>
          <w:sz w:val="24"/>
          <w:szCs w:val="24"/>
          <w:u w:val="single"/>
          <w:shd w:val="clear" w:color="auto" w:fill="FFFFFF"/>
          <w:lang w:eastAsia="pt-BR"/>
        </w:rPr>
        <w:t>Fux</w:t>
      </w:r>
      <w:proofErr w:type="spellEnd"/>
      <w:r w:rsidRPr="00E679F5"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  <w:t>, “a norma é compatível com a Constituição Federal, e os municípios têm competência suplementar para editar leis de proteção ambiental”.</w:t>
      </w: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No caso julgado, do município de Marília (São Paulo), extensivo a outros pelo menos sessenta e sete (67) processos com controvérsia similar que estavam sobrestados, a Corte também concedeu o prazo de 12 meses para o comércio se adaptar e substituir as sacolas conforme a legislação da localidade.</w:t>
      </w:r>
    </w:p>
    <w:p w:rsidR="007A72CB" w:rsidRPr="00E679F5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</w:pPr>
      <w:r w:rsidRPr="00E679F5"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  <w:t>A discussão da questão ocorreu no Recurso Extraordinário (RE) 732686, fixada na seguinte tese: “É constitucional, formal e materialmente, lei municipal que obriga a substituição de sacos e sacolas plásticos por sacos e sacolas biodegradáveis”.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O Município tem competência administrativa e legislativa para promover a defesa do meio ambiente, pois que, conforme as Constituições, Federal e Estadual, o direito ao meio ambiente ecologicamente equilibrado é direito fundamental, e sua proteção cabe a todos os entes da federação. Registre-se que além da Constituição Federal de 1988 e da Constituição Estadual de 1989, há variedade de leis ordinárias federais e estaduais que tratam do assunto, como, dentre ouras, são os casos da Lei Federal nº 12.305/2010, da Lei Federal nº 14.026/2020, da Lei Complementar nº 140/2011, da Lei Estadual nº 14.528/2014, da Resolução </w:t>
      </w:r>
      <w:proofErr w:type="spellStart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Consema</w:t>
      </w:r>
      <w:proofErr w:type="spellEnd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 nº 372/2018 e seguintes e, mesmo, da Lei Orgânica Municipal e outras leis municipais ordinárias ou complementares.</w:t>
      </w:r>
    </w:p>
    <w:p w:rsidR="007A72CB" w:rsidRPr="00E679F5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</w:pPr>
      <w:r w:rsidRPr="00E679F5">
        <w:rPr>
          <w:rFonts w:ascii="Bookman Old Style" w:eastAsia="Times New Roman" w:hAnsi="Bookman Old Style" w:cs="Times New Roman"/>
          <w:b/>
          <w:sz w:val="24"/>
          <w:szCs w:val="24"/>
          <w:shd w:val="clear" w:color="auto" w:fill="FFFFFF"/>
          <w:lang w:eastAsia="pt-BR"/>
        </w:rPr>
        <w:lastRenderedPageBreak/>
        <w:t>Por derradeiro e de caráter exemplificativo, além de vários municípios, no Brasil são treze (13) as capitais que já aprovaram Leis que limitam ou proíbem a distribuição de embalagens plásticas em estabelecimentos comerciais.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E679F5" w:rsidRPr="00FA1384" w:rsidRDefault="007A72CB" w:rsidP="00E679F5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Nova Prata, </w:t>
      </w:r>
      <w:r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28 de junho de 2024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Saúde, paz, solidariedade, empatia e justiça social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100º ano de emancipação política de Nova Prata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 xml:space="preserve">Claudio </w:t>
      </w:r>
      <w:proofErr w:type="spellStart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Dilda</w:t>
      </w:r>
      <w:proofErr w:type="spellEnd"/>
      <w:r w:rsidRPr="00FA1384"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  <w:t>, vereador</w:t>
      </w: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7A72CB" w:rsidRPr="00FA1384" w:rsidRDefault="007A72CB" w:rsidP="007A72CB">
      <w:pPr>
        <w:spacing w:after="0" w:line="240" w:lineRule="auto"/>
        <w:ind w:left="57" w:right="57" w:firstLine="651"/>
        <w:jc w:val="both"/>
        <w:rPr>
          <w:rFonts w:ascii="Bookman Old Style" w:eastAsia="Times New Roman" w:hAnsi="Bookman Old Style" w:cs="Times New Roman"/>
          <w:sz w:val="24"/>
          <w:szCs w:val="24"/>
          <w:shd w:val="clear" w:color="auto" w:fill="FFFFFF"/>
          <w:lang w:eastAsia="pt-BR"/>
        </w:rPr>
      </w:pPr>
    </w:p>
    <w:p w:rsidR="001F5EEC" w:rsidRDefault="001F5EEC"/>
    <w:sectPr w:rsidR="001F5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2CB"/>
    <w:rsid w:val="001F5EEC"/>
    <w:rsid w:val="007A72CB"/>
    <w:rsid w:val="0087385A"/>
    <w:rsid w:val="00E6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4A6B4-5BBE-4F9D-9742-B2807E12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2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1090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2024-06-29T14:53:00Z</dcterms:created>
  <dcterms:modified xsi:type="dcterms:W3CDTF">2024-07-02T14:44:00Z</dcterms:modified>
</cp:coreProperties>
</file>