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4F9" w:rsidRPr="00F454F9" w:rsidRDefault="00F454F9" w:rsidP="00F454F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454F9">
        <w:rPr>
          <w:rFonts w:ascii="Times New Roman" w:hAnsi="Times New Roman" w:cs="Times New Roman"/>
          <w:b/>
          <w:bCs/>
          <w:sz w:val="36"/>
          <w:szCs w:val="36"/>
        </w:rPr>
        <w:t>RESOLUÇÃO 004/2005</w:t>
      </w:r>
    </w:p>
    <w:p w:rsidR="00F454F9" w:rsidRPr="00F454F9" w:rsidRDefault="00F454F9" w:rsidP="00F454F9">
      <w:pPr>
        <w:rPr>
          <w:rFonts w:ascii="Times New Roman" w:hAnsi="Times New Roman" w:cs="Times New Roman"/>
          <w:sz w:val="28"/>
          <w:szCs w:val="28"/>
        </w:rPr>
      </w:pPr>
    </w:p>
    <w:p w:rsidR="00F454F9" w:rsidRPr="00F454F9" w:rsidRDefault="00F454F9" w:rsidP="00F454F9">
      <w:pPr>
        <w:rPr>
          <w:rFonts w:ascii="Times New Roman" w:hAnsi="Times New Roman" w:cs="Times New Roman"/>
          <w:sz w:val="28"/>
          <w:szCs w:val="28"/>
        </w:rPr>
      </w:pPr>
      <w:r w:rsidRPr="00F454F9">
        <w:rPr>
          <w:rFonts w:ascii="Times New Roman" w:hAnsi="Times New Roman" w:cs="Times New Roman"/>
          <w:sz w:val="28"/>
          <w:szCs w:val="28"/>
        </w:rPr>
        <w:t xml:space="preserve">"Altera Anexo III - Tabela de Vencimentos da Resolução </w:t>
      </w:r>
      <w:proofErr w:type="spellStart"/>
      <w:r w:rsidRPr="00F454F9">
        <w:rPr>
          <w:rFonts w:ascii="Times New Roman" w:hAnsi="Times New Roman" w:cs="Times New Roman"/>
          <w:sz w:val="28"/>
          <w:szCs w:val="28"/>
        </w:rPr>
        <w:t>n.°</w:t>
      </w:r>
      <w:proofErr w:type="spellEnd"/>
      <w:r w:rsidRPr="00F454F9">
        <w:rPr>
          <w:rFonts w:ascii="Times New Roman" w:hAnsi="Times New Roman" w:cs="Times New Roman"/>
          <w:sz w:val="28"/>
          <w:szCs w:val="28"/>
        </w:rPr>
        <w:t xml:space="preserve"> 007, de 04 de dezembro de 2.001, que dispõe sobre o Quadro de Pessoal, Plano de Carreiras e Vencimentos dos Servidores da Câmara Municipal de Itapeva e dá outras providências"</w:t>
      </w: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 xml:space="preserve">A Câmara Municipal de Itapeva, por meio de seus vereadores, APROVOU e eu, BENEDITO PAULA DA SILVA, Presidente da Câmara, com fulcro no inciso IV do artigo 38 da Resolução </w:t>
      </w:r>
      <w:proofErr w:type="spellStart"/>
      <w:r w:rsidRPr="00F454F9">
        <w:rPr>
          <w:rFonts w:ascii="Times New Roman" w:hAnsi="Times New Roman" w:cs="Times New Roman"/>
          <w:sz w:val="24"/>
          <w:szCs w:val="24"/>
        </w:rPr>
        <w:t>n.°</w:t>
      </w:r>
      <w:proofErr w:type="spellEnd"/>
      <w:r w:rsidRPr="00F454F9">
        <w:rPr>
          <w:rFonts w:ascii="Times New Roman" w:hAnsi="Times New Roman" w:cs="Times New Roman"/>
          <w:sz w:val="24"/>
          <w:szCs w:val="24"/>
        </w:rPr>
        <w:t xml:space="preserve"> 003, de 12 de maio de 2.005 - Regimento Interno - e inciso IV do artigo 33 da Lei Orgânica Municipal, PROMULGO a seguinte RESOLUÇÃO:</w:t>
      </w: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 xml:space="preserve"> Art. 1º</w:t>
      </w:r>
      <w:proofErr w:type="gramStart"/>
      <w:r w:rsidRPr="00F454F9">
        <w:rPr>
          <w:rFonts w:ascii="Times New Roman" w:hAnsi="Times New Roman" w:cs="Times New Roman"/>
          <w:sz w:val="24"/>
          <w:szCs w:val="24"/>
        </w:rPr>
        <w:t>-  Fica</w:t>
      </w:r>
      <w:proofErr w:type="gramEnd"/>
      <w:r w:rsidRPr="00F454F9">
        <w:rPr>
          <w:rFonts w:ascii="Times New Roman" w:hAnsi="Times New Roman" w:cs="Times New Roman"/>
          <w:sz w:val="24"/>
          <w:szCs w:val="24"/>
        </w:rPr>
        <w:t xml:space="preserve"> alterado o Anexo III – Tabela de Vencimentos dos Servidores Públicos da Câmara Municipal de Itapeva, passando os vencimentos dos graus iniciais e </w:t>
      </w:r>
      <w:proofErr w:type="spellStart"/>
      <w:r w:rsidRPr="00F454F9">
        <w:rPr>
          <w:rFonts w:ascii="Times New Roman" w:hAnsi="Times New Roman" w:cs="Times New Roman"/>
          <w:sz w:val="24"/>
          <w:szCs w:val="24"/>
        </w:rPr>
        <w:t>subseqüentes</w:t>
      </w:r>
      <w:proofErr w:type="spellEnd"/>
      <w:r w:rsidRPr="00F454F9">
        <w:rPr>
          <w:rFonts w:ascii="Times New Roman" w:hAnsi="Times New Roman" w:cs="Times New Roman"/>
          <w:sz w:val="24"/>
          <w:szCs w:val="24"/>
        </w:rPr>
        <w:t xml:space="preserve"> do nível abaixo indicado,  a vigorarem com os seguintes valores: </w:t>
      </w: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>NÍVEL</w:t>
      </w:r>
      <w:r w:rsidRPr="00F454F9">
        <w:rPr>
          <w:rFonts w:ascii="Times New Roman" w:hAnsi="Times New Roman" w:cs="Times New Roman"/>
          <w:sz w:val="24"/>
          <w:szCs w:val="24"/>
        </w:rPr>
        <w:tab/>
        <w:t>GRAU</w:t>
      </w:r>
      <w:r w:rsidRPr="00F454F9">
        <w:rPr>
          <w:rFonts w:ascii="Times New Roman" w:hAnsi="Times New Roman" w:cs="Times New Roman"/>
          <w:sz w:val="24"/>
          <w:szCs w:val="24"/>
        </w:rPr>
        <w:tab/>
      </w: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ab/>
        <w:t>A</w:t>
      </w:r>
      <w:r w:rsidRPr="00F454F9">
        <w:rPr>
          <w:rFonts w:ascii="Times New Roman" w:hAnsi="Times New Roman" w:cs="Times New Roman"/>
          <w:sz w:val="24"/>
          <w:szCs w:val="24"/>
        </w:rPr>
        <w:tab/>
        <w:t>B</w:t>
      </w:r>
      <w:r w:rsidRPr="00F454F9">
        <w:rPr>
          <w:rFonts w:ascii="Times New Roman" w:hAnsi="Times New Roman" w:cs="Times New Roman"/>
          <w:sz w:val="24"/>
          <w:szCs w:val="24"/>
        </w:rPr>
        <w:tab/>
        <w:t>C</w:t>
      </w:r>
      <w:r w:rsidRPr="00F454F9">
        <w:rPr>
          <w:rFonts w:ascii="Times New Roman" w:hAnsi="Times New Roman" w:cs="Times New Roman"/>
          <w:sz w:val="24"/>
          <w:szCs w:val="24"/>
        </w:rPr>
        <w:tab/>
        <w:t>D</w:t>
      </w:r>
      <w:r w:rsidRPr="00F454F9">
        <w:rPr>
          <w:rFonts w:ascii="Times New Roman" w:hAnsi="Times New Roman" w:cs="Times New Roman"/>
          <w:sz w:val="24"/>
          <w:szCs w:val="24"/>
        </w:rPr>
        <w:tab/>
        <w:t>E</w:t>
      </w:r>
      <w:r w:rsidRPr="00F454F9">
        <w:rPr>
          <w:rFonts w:ascii="Times New Roman" w:hAnsi="Times New Roman" w:cs="Times New Roman"/>
          <w:sz w:val="24"/>
          <w:szCs w:val="24"/>
        </w:rPr>
        <w:tab/>
        <w:t>F</w:t>
      </w:r>
      <w:r w:rsidRPr="00F454F9">
        <w:rPr>
          <w:rFonts w:ascii="Times New Roman" w:hAnsi="Times New Roman" w:cs="Times New Roman"/>
          <w:sz w:val="24"/>
          <w:szCs w:val="24"/>
        </w:rPr>
        <w:tab/>
        <w:t>G</w:t>
      </w:r>
      <w:r w:rsidRPr="00F454F9">
        <w:rPr>
          <w:rFonts w:ascii="Times New Roman" w:hAnsi="Times New Roman" w:cs="Times New Roman"/>
          <w:sz w:val="24"/>
          <w:szCs w:val="24"/>
        </w:rPr>
        <w:tab/>
        <w:t>H</w:t>
      </w:r>
      <w:r w:rsidRPr="00F454F9">
        <w:rPr>
          <w:rFonts w:ascii="Times New Roman" w:hAnsi="Times New Roman" w:cs="Times New Roman"/>
          <w:sz w:val="24"/>
          <w:szCs w:val="24"/>
        </w:rPr>
        <w:tab/>
        <w:t>I</w:t>
      </w:r>
      <w:r w:rsidRPr="00F454F9">
        <w:rPr>
          <w:rFonts w:ascii="Times New Roman" w:hAnsi="Times New Roman" w:cs="Times New Roman"/>
          <w:sz w:val="24"/>
          <w:szCs w:val="24"/>
        </w:rPr>
        <w:tab/>
        <w:t>J</w:t>
      </w:r>
      <w:r w:rsidRPr="00F454F9">
        <w:rPr>
          <w:rFonts w:ascii="Times New Roman" w:hAnsi="Times New Roman" w:cs="Times New Roman"/>
          <w:sz w:val="24"/>
          <w:szCs w:val="24"/>
        </w:rPr>
        <w:tab/>
        <w:t>K</w:t>
      </w:r>
      <w:r w:rsidRPr="00F454F9">
        <w:rPr>
          <w:rFonts w:ascii="Times New Roman" w:hAnsi="Times New Roman" w:cs="Times New Roman"/>
          <w:sz w:val="24"/>
          <w:szCs w:val="24"/>
        </w:rPr>
        <w:tab/>
        <w:t>L</w:t>
      </w:r>
      <w:r w:rsidRPr="00F454F9">
        <w:rPr>
          <w:rFonts w:ascii="Times New Roman" w:hAnsi="Times New Roman" w:cs="Times New Roman"/>
          <w:sz w:val="24"/>
          <w:szCs w:val="24"/>
        </w:rPr>
        <w:tab/>
      </w: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>6</w:t>
      </w:r>
      <w:r w:rsidRPr="00F454F9">
        <w:rPr>
          <w:rFonts w:ascii="Times New Roman" w:hAnsi="Times New Roman" w:cs="Times New Roman"/>
          <w:sz w:val="24"/>
          <w:szCs w:val="24"/>
        </w:rPr>
        <w:tab/>
        <w:t>1.028,04</w:t>
      </w:r>
      <w:r w:rsidRPr="00F454F9">
        <w:rPr>
          <w:rFonts w:ascii="Times New Roman" w:hAnsi="Times New Roman" w:cs="Times New Roman"/>
          <w:sz w:val="24"/>
          <w:szCs w:val="24"/>
        </w:rPr>
        <w:tab/>
        <w:t>1.058,88</w:t>
      </w:r>
      <w:r w:rsidRPr="00F454F9">
        <w:rPr>
          <w:rFonts w:ascii="Times New Roman" w:hAnsi="Times New Roman" w:cs="Times New Roman"/>
          <w:sz w:val="24"/>
          <w:szCs w:val="24"/>
        </w:rPr>
        <w:tab/>
        <w:t>1.090,64</w:t>
      </w:r>
      <w:r w:rsidRPr="00F454F9">
        <w:rPr>
          <w:rFonts w:ascii="Times New Roman" w:hAnsi="Times New Roman" w:cs="Times New Roman"/>
          <w:sz w:val="24"/>
          <w:szCs w:val="24"/>
        </w:rPr>
        <w:tab/>
        <w:t>1.123,36</w:t>
      </w:r>
      <w:r w:rsidRPr="00F454F9">
        <w:rPr>
          <w:rFonts w:ascii="Times New Roman" w:hAnsi="Times New Roman" w:cs="Times New Roman"/>
          <w:sz w:val="24"/>
          <w:szCs w:val="24"/>
        </w:rPr>
        <w:tab/>
        <w:t>1.157,06</w:t>
      </w:r>
      <w:bookmarkStart w:id="0" w:name="_GoBack"/>
      <w:bookmarkEnd w:id="0"/>
      <w:r w:rsidRPr="00F454F9">
        <w:rPr>
          <w:rFonts w:ascii="Times New Roman" w:hAnsi="Times New Roman" w:cs="Times New Roman"/>
          <w:sz w:val="24"/>
          <w:szCs w:val="24"/>
        </w:rPr>
        <w:tab/>
        <w:t>1.191,78</w:t>
      </w:r>
      <w:r w:rsidRPr="00F454F9">
        <w:rPr>
          <w:rFonts w:ascii="Times New Roman" w:hAnsi="Times New Roman" w:cs="Times New Roman"/>
          <w:sz w:val="24"/>
          <w:szCs w:val="24"/>
        </w:rPr>
        <w:tab/>
        <w:t>1.227,53</w:t>
      </w:r>
      <w:r w:rsidRPr="00F454F9">
        <w:rPr>
          <w:rFonts w:ascii="Times New Roman" w:hAnsi="Times New Roman" w:cs="Times New Roman"/>
          <w:sz w:val="24"/>
          <w:szCs w:val="24"/>
        </w:rPr>
        <w:tab/>
        <w:t>1.264,35</w:t>
      </w:r>
      <w:r w:rsidRPr="00F454F9">
        <w:rPr>
          <w:rFonts w:ascii="Times New Roman" w:hAnsi="Times New Roman" w:cs="Times New Roman"/>
          <w:sz w:val="24"/>
          <w:szCs w:val="24"/>
        </w:rPr>
        <w:tab/>
        <w:t>1.302,28</w:t>
      </w:r>
      <w:r w:rsidRPr="00F454F9">
        <w:rPr>
          <w:rFonts w:ascii="Times New Roman" w:hAnsi="Times New Roman" w:cs="Times New Roman"/>
          <w:sz w:val="24"/>
          <w:szCs w:val="24"/>
        </w:rPr>
        <w:tab/>
        <w:t>1.341,35</w:t>
      </w:r>
      <w:r w:rsidRPr="00F454F9">
        <w:rPr>
          <w:rFonts w:ascii="Times New Roman" w:hAnsi="Times New Roman" w:cs="Times New Roman"/>
          <w:sz w:val="24"/>
          <w:szCs w:val="24"/>
        </w:rPr>
        <w:tab/>
        <w:t>1.381,59</w:t>
      </w:r>
      <w:r w:rsidRPr="00F454F9">
        <w:rPr>
          <w:rFonts w:ascii="Times New Roman" w:hAnsi="Times New Roman" w:cs="Times New Roman"/>
          <w:sz w:val="24"/>
          <w:szCs w:val="24"/>
        </w:rPr>
        <w:tab/>
        <w:t>1.423,04</w:t>
      </w:r>
      <w:r w:rsidRPr="00F454F9">
        <w:rPr>
          <w:rFonts w:ascii="Times New Roman" w:hAnsi="Times New Roman" w:cs="Times New Roman"/>
          <w:sz w:val="24"/>
          <w:szCs w:val="24"/>
        </w:rPr>
        <w:tab/>
      </w:r>
    </w:p>
    <w:p w:rsidR="00F454F9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ab/>
      </w:r>
    </w:p>
    <w:p w:rsidR="0091245A" w:rsidRPr="00F454F9" w:rsidRDefault="00F454F9" w:rsidP="00F454F9">
      <w:pPr>
        <w:rPr>
          <w:rFonts w:ascii="Times New Roman" w:hAnsi="Times New Roman" w:cs="Times New Roman"/>
          <w:sz w:val="24"/>
          <w:szCs w:val="24"/>
        </w:rPr>
      </w:pPr>
      <w:r w:rsidRPr="00F454F9">
        <w:rPr>
          <w:rFonts w:ascii="Times New Roman" w:hAnsi="Times New Roman" w:cs="Times New Roman"/>
          <w:sz w:val="24"/>
          <w:szCs w:val="24"/>
        </w:rPr>
        <w:t>Art. 2º</w:t>
      </w:r>
      <w:proofErr w:type="gramStart"/>
      <w:r w:rsidRPr="00F454F9">
        <w:rPr>
          <w:rFonts w:ascii="Times New Roman" w:hAnsi="Times New Roman" w:cs="Times New Roman"/>
          <w:sz w:val="24"/>
          <w:szCs w:val="24"/>
        </w:rPr>
        <w:t>-  Revogadas</w:t>
      </w:r>
      <w:proofErr w:type="gramEnd"/>
      <w:r w:rsidRPr="00F454F9">
        <w:rPr>
          <w:rFonts w:ascii="Times New Roman" w:hAnsi="Times New Roman" w:cs="Times New Roman"/>
          <w:sz w:val="24"/>
          <w:szCs w:val="24"/>
        </w:rPr>
        <w:t xml:space="preserve"> as disposições contrárias, esta resolução entrará em vigor na data de sua publicação.</w:t>
      </w:r>
    </w:p>
    <w:sectPr w:rsidR="0091245A" w:rsidRPr="00F454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4F9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454F9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D03F"/>
  <w15:chartTrackingRefBased/>
  <w15:docId w15:val="{1C616586-384A-47CD-8695-E33A1AD7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898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2021-09-28T14:21:00Z</dcterms:created>
  <dcterms:modified xsi:type="dcterms:W3CDTF">2021-09-28T14:23:00Z</dcterms:modified>
</cp:coreProperties>
</file>