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492F9DE3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B471E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447A9C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F41D9D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D671D">
        <w:rPr>
          <w:rFonts w:ascii="Arial" w:hAnsi="Arial" w:cs="Arial"/>
          <w:b/>
          <w:bCs/>
          <w:sz w:val="24"/>
          <w:szCs w:val="24"/>
        </w:rPr>
        <w:t>0</w:t>
      </w:r>
      <w:r w:rsidR="006B471E">
        <w:rPr>
          <w:rFonts w:ascii="Arial" w:hAnsi="Arial" w:cs="Arial"/>
          <w:b/>
          <w:bCs/>
          <w:sz w:val="24"/>
          <w:szCs w:val="24"/>
        </w:rPr>
        <w:t>3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D671D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C4902B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6B471E">
        <w:rPr>
          <w:rFonts w:ascii="Arial" w:hAnsi="Arial" w:cs="Arial"/>
          <w:b/>
          <w:sz w:val="24"/>
          <w:szCs w:val="24"/>
        </w:rPr>
        <w:t>41</w:t>
      </w:r>
      <w:r>
        <w:rPr>
          <w:rFonts w:ascii="Arial" w:hAnsi="Arial" w:cs="Arial"/>
          <w:b/>
          <w:sz w:val="24"/>
          <w:szCs w:val="24"/>
        </w:rPr>
        <w:t>/202</w:t>
      </w:r>
      <w:r w:rsidR="006B471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6B471E">
        <w:rPr>
          <w:rFonts w:ascii="Arial" w:hAnsi="Arial" w:cs="Arial"/>
          <w:b/>
          <w:sz w:val="24"/>
          <w:szCs w:val="24"/>
        </w:rPr>
        <w:t>18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6B471E">
        <w:rPr>
          <w:rFonts w:ascii="Arial" w:hAnsi="Arial" w:cs="Arial"/>
          <w:b/>
          <w:sz w:val="24"/>
          <w:szCs w:val="24"/>
        </w:rPr>
        <w:t>dezembro</w:t>
      </w:r>
      <w:r w:rsidR="00C30CA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6B471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6A6A2E8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6B471E">
        <w:rPr>
          <w:rFonts w:ascii="Arial" w:hAnsi="Arial" w:cs="Arial"/>
          <w:b/>
          <w:sz w:val="24"/>
          <w:szCs w:val="24"/>
        </w:rPr>
        <w:t>Executivo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57B0728E" w:rsidR="006F3680" w:rsidRDefault="006F3680" w:rsidP="006B471E">
      <w:pPr>
        <w:pStyle w:val="NormalWeb"/>
        <w:spacing w:before="0" w:beforeAutospacing="0" w:after="0" w:afterAutospacing="0"/>
        <w:ind w:left="5812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6B471E" w:rsidRPr="0007563E">
        <w:rPr>
          <w:rFonts w:ascii="Arial" w:hAnsi="Arial" w:cs="Arial"/>
          <w:b/>
          <w:bCs/>
        </w:rPr>
        <w:t>Dispõe sobre a regulamentação da concessão de placas de MOTOTÁXI e altera o art. 4º, I, “</w:t>
      </w:r>
      <w:r w:rsidR="006B471E" w:rsidRPr="0007563E">
        <w:rPr>
          <w:rFonts w:ascii="Arial" w:hAnsi="Arial" w:cs="Arial"/>
          <w:b/>
          <w:bCs/>
          <w:i/>
        </w:rPr>
        <w:t>b</w:t>
      </w:r>
      <w:r w:rsidR="006B471E" w:rsidRPr="0007563E">
        <w:rPr>
          <w:rFonts w:ascii="Arial" w:hAnsi="Arial" w:cs="Arial"/>
          <w:b/>
          <w:bCs/>
        </w:rPr>
        <w:t>” e “</w:t>
      </w:r>
      <w:r w:rsidR="006B471E" w:rsidRPr="0007563E">
        <w:rPr>
          <w:rFonts w:ascii="Arial" w:hAnsi="Arial" w:cs="Arial"/>
          <w:b/>
          <w:bCs/>
          <w:i/>
        </w:rPr>
        <w:t>c</w:t>
      </w:r>
      <w:r w:rsidR="006B471E" w:rsidRPr="0007563E">
        <w:rPr>
          <w:rFonts w:ascii="Arial" w:hAnsi="Arial" w:cs="Arial"/>
          <w:b/>
          <w:bCs/>
        </w:rPr>
        <w:t>” da Lei Municipal nº 310 de 14 dezembro de 2006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0D671D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334CEF0E" w:rsidR="006F3680" w:rsidRPr="000D671D" w:rsidRDefault="000D671D" w:rsidP="000D671D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0D671D">
        <w:rPr>
          <w:rFonts w:ascii="Arial" w:hAnsi="Arial" w:cs="Arial"/>
          <w:b/>
          <w:sz w:val="24"/>
          <w:szCs w:val="24"/>
        </w:rPr>
        <w:t>I – RELATÓRIO ANALÍTICO:</w:t>
      </w:r>
    </w:p>
    <w:p w14:paraId="2B2A7153" w14:textId="1426B091" w:rsidR="006B471E" w:rsidRPr="006B471E" w:rsidRDefault="006F3680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0D671D">
        <w:rPr>
          <w:rFonts w:ascii="Arial" w:hAnsi="Arial" w:cs="Arial"/>
          <w:sz w:val="24"/>
          <w:szCs w:val="24"/>
        </w:rPr>
        <w:tab/>
      </w:r>
      <w:r w:rsidR="006B471E" w:rsidRPr="006B471E">
        <w:rPr>
          <w:rFonts w:ascii="Arial" w:hAnsi="Arial" w:cs="Arial"/>
          <w:sz w:val="23"/>
          <w:szCs w:val="23"/>
        </w:rPr>
        <w:t>O Projeto de Lei nº 41/2025 foi encaminhado a esta Comissão de Legislação, Justiça e Redação Final, nos termos do Regimento Interno desta Casa Legislativa, para análise quanto aos aspectos constitucional, legal, jurídico e de técnica legislativa.</w:t>
      </w:r>
    </w:p>
    <w:p w14:paraId="164A37AD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A proposição tem por finalidade regulamentar, no âmbito do Município de Acrelândia, a concessão de placas para o exercício da atividade de transporte individual de passageiros na categoria mototáxi, bem como instituir e disciplinar a Taxa de Prestadores de Serviços de Transportes Autônomos.</w:t>
      </w:r>
    </w:p>
    <w:p w14:paraId="38469601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De acordo com a justificativa encaminhada pelo Poder Executivo, a proposta busca atualizar, consolidar e reorganizar a legislação municipal referente ao serviço de mototáxi, atualmente disciplinada por diferentes diplomas legais, especialmente as Leis Municipais nº 516/2013, nº 201/2002 e nº 310/2006.</w:t>
      </w:r>
    </w:p>
    <w:p w14:paraId="06F57A03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A iniciativa também estabelece critérios para a concessão do serviço, requisitos para o exercício da atividade, limites de concessões, distribuição territorial dos pontos de mototáxi, bem como regras relacionadas à tributação municipal aplicável aos prestadores de serviços de transporte autônomo.</w:t>
      </w:r>
    </w:p>
    <w:p w14:paraId="125669CF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lastRenderedPageBreak/>
        <w:t>Cumpre a esta Comissão proceder à análise da matéria quanto à sua constitucionalidade, legalidade, juridicidade e técnica legislativa, sem adentrar no mérito administrativo da política pública proposta.</w:t>
      </w:r>
    </w:p>
    <w:p w14:paraId="1825DDD4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É o relatório.</w:t>
      </w:r>
    </w:p>
    <w:p w14:paraId="0ACF9902" w14:textId="28A6AB8B" w:rsidR="000D671D" w:rsidRPr="006B471E" w:rsidRDefault="000D671D" w:rsidP="006B471E">
      <w:pPr>
        <w:spacing w:before="240" w:line="276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6B471E">
        <w:rPr>
          <w:rFonts w:ascii="Arial" w:hAnsi="Arial" w:cs="Arial"/>
          <w:b/>
          <w:bCs/>
          <w:sz w:val="23"/>
          <w:szCs w:val="23"/>
        </w:rPr>
        <w:t xml:space="preserve">II – FUNDAMENTAÇÃO JURÍDICA </w:t>
      </w:r>
    </w:p>
    <w:p w14:paraId="34DDB6F4" w14:textId="77777777" w:rsidR="000D671D" w:rsidRPr="006B471E" w:rsidRDefault="000D671D" w:rsidP="006B471E">
      <w:pPr>
        <w:spacing w:before="240" w:line="276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b/>
          <w:bCs/>
          <w:sz w:val="23"/>
          <w:szCs w:val="23"/>
        </w:rPr>
        <w:t>1. Da Competência Legislativa do Município</w:t>
      </w:r>
    </w:p>
    <w:p w14:paraId="6DBD90ED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A Constituição da República estabelece, em seu art. 30, inciso I, que compete aos Municípios legislar sobre assuntos de interesse local.</w:t>
      </w:r>
    </w:p>
    <w:p w14:paraId="1C6DD37A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Ainda nesse sentido, o art. 30, inciso II, da Constituição Federal dispõe que compete aos Municípios suplementar a legislação federal e estadual no que couber.</w:t>
      </w:r>
    </w:p>
    <w:p w14:paraId="3C56C111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A regulamentação de serviços de transporte individual de passageiros, bem como a organização e fiscalização de atividades exercidas no âmbito territorial do Município, enquadra-se claramente na esfera de interesse local, estando inserida na competência legislativa municipal.</w:t>
      </w:r>
    </w:p>
    <w:p w14:paraId="67398988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Além disso, a matéria encontra respaldo na legislação federal pertinente, especialmente na Lei Federal nº 12.009/2009, que regulamenta o exercício das atividades de mototaxista e motofretista, bem como no Código de Trânsito Brasileiro (Lei nº 9.503/1997), aos quais o projeto faz expressa referência.</w:t>
      </w:r>
    </w:p>
    <w:p w14:paraId="255E16E0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Assim, verifica-se que a iniciativa legislativa está compatível com o sistema federativo e com a repartição constitucional de competências.</w:t>
      </w:r>
    </w:p>
    <w:p w14:paraId="25A3867B" w14:textId="77777777" w:rsidR="006B471E" w:rsidRPr="006B471E" w:rsidRDefault="006B471E" w:rsidP="006B471E">
      <w:pPr>
        <w:spacing w:before="240" w:line="276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6B471E">
        <w:rPr>
          <w:rFonts w:ascii="Arial" w:hAnsi="Arial" w:cs="Arial"/>
          <w:b/>
          <w:bCs/>
          <w:sz w:val="23"/>
          <w:szCs w:val="23"/>
        </w:rPr>
        <w:t>2. Da Competência do Poder Executivo para a Iniciativa da Matéria</w:t>
      </w:r>
    </w:p>
    <w:p w14:paraId="0D6AEB70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Observa-se que a proposição é de iniciativa do Poder Executivo Municipal, o que se mostra juridicamente adequado, tendo em vista que a matéria envolve a regulamentação de serviço público local, bem como aspectos relacionados à fiscalização administrativa e à organização do sistema municipal de transporte.</w:t>
      </w:r>
    </w:p>
    <w:p w14:paraId="59D6D77E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Além disso, a proposição institui taxa vinculada à prestação de serviço de fiscalização e organização administrativa, matéria que também se insere no âmbito da competência administrativa do Poder Executivo.</w:t>
      </w:r>
    </w:p>
    <w:p w14:paraId="2215D245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Dessa forma, não se verifica vício de iniciativa que comprometa a regular tramitação do projeto.</w:t>
      </w:r>
    </w:p>
    <w:p w14:paraId="4C1AE9C6" w14:textId="0C8EE09E" w:rsidR="006C09E3" w:rsidRPr="006B471E" w:rsidRDefault="006C09E3" w:rsidP="006B471E">
      <w:pPr>
        <w:spacing w:before="240" w:line="276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6B471E">
        <w:rPr>
          <w:rFonts w:ascii="Arial" w:hAnsi="Arial" w:cs="Arial"/>
          <w:b/>
          <w:bCs/>
          <w:sz w:val="23"/>
          <w:szCs w:val="23"/>
        </w:rPr>
        <w:t xml:space="preserve">3. </w:t>
      </w:r>
      <w:r w:rsidR="006B471E" w:rsidRPr="006B471E">
        <w:rPr>
          <w:rFonts w:ascii="Arial" w:hAnsi="Arial" w:cs="Arial"/>
          <w:b/>
          <w:bCs/>
          <w:sz w:val="23"/>
          <w:szCs w:val="23"/>
        </w:rPr>
        <w:t>Da Compatibilidade com os Princípios da Administração Pública</w:t>
      </w:r>
    </w:p>
    <w:p w14:paraId="10DBD11D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lastRenderedPageBreak/>
        <w:t>O Projeto de Lei encontra respaldo nos princípios previstos no art. 37 da Constituição Federal, que regem a Administração Pública, especialmente os princípios da legalidade, eficiência e interesse público.</w:t>
      </w:r>
    </w:p>
    <w:p w14:paraId="5BF20632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A regulamentação do serviço de mototáxi contribui para:</w:t>
      </w:r>
    </w:p>
    <w:p w14:paraId="6EE4A2FF" w14:textId="77777777" w:rsidR="006B471E" w:rsidRPr="006B471E" w:rsidRDefault="006B471E" w:rsidP="006B471E">
      <w:pPr>
        <w:numPr>
          <w:ilvl w:val="0"/>
          <w:numId w:val="4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organização do sistema de transporte individual no Município;</w:t>
      </w:r>
    </w:p>
    <w:p w14:paraId="544E13FC" w14:textId="77777777" w:rsidR="006B471E" w:rsidRPr="006B471E" w:rsidRDefault="006B471E" w:rsidP="006B471E">
      <w:pPr>
        <w:numPr>
          <w:ilvl w:val="0"/>
          <w:numId w:val="4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melhoria da segurança na prestação do serviço;</w:t>
      </w:r>
    </w:p>
    <w:p w14:paraId="5261946B" w14:textId="77777777" w:rsidR="006B471E" w:rsidRPr="006B471E" w:rsidRDefault="006B471E" w:rsidP="006B471E">
      <w:pPr>
        <w:numPr>
          <w:ilvl w:val="0"/>
          <w:numId w:val="4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fortalecimento da fiscalização municipal;</w:t>
      </w:r>
    </w:p>
    <w:p w14:paraId="0487BFF7" w14:textId="77777777" w:rsidR="006B471E" w:rsidRPr="006B471E" w:rsidRDefault="006B471E" w:rsidP="006B471E">
      <w:pPr>
        <w:numPr>
          <w:ilvl w:val="0"/>
          <w:numId w:val="4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garantia de maior segurança jurídica aos profissionais que exercem a atividade.</w:t>
      </w:r>
    </w:p>
    <w:p w14:paraId="66DC1A34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Assim, a proposta mostra-se alinhada aos princípios constitucionais que orientam a atuação da Administração Pública.</w:t>
      </w:r>
    </w:p>
    <w:p w14:paraId="311B3C98" w14:textId="77777777" w:rsidR="006C09E3" w:rsidRPr="006B471E" w:rsidRDefault="006C09E3" w:rsidP="006B471E">
      <w:pPr>
        <w:spacing w:before="240" w:line="276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6B471E">
        <w:rPr>
          <w:rFonts w:ascii="Arial" w:hAnsi="Arial" w:cs="Arial"/>
          <w:b/>
          <w:bCs/>
          <w:sz w:val="23"/>
          <w:szCs w:val="23"/>
        </w:rPr>
        <w:t>4. Da Conformidade com a Lei Orgânica do Município</w:t>
      </w:r>
    </w:p>
    <w:p w14:paraId="0E55BB1D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No âmbito municipal, a matéria encontra respaldo na Lei Orgânica do Município de Acrelândia, que confere à Câmara Municipal competência para legislar sobre assuntos de interesse local e para deliberar sobre proposições encaminhadas pelo Poder Executivo relativas à organização e regulamentação de serviços públicos municipais.</w:t>
      </w:r>
    </w:p>
    <w:p w14:paraId="09F80A4D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 xml:space="preserve">Portanto, verifica-se que o projeto </w:t>
      </w:r>
      <w:proofErr w:type="gramStart"/>
      <w:r w:rsidRPr="006B471E">
        <w:rPr>
          <w:rFonts w:ascii="Arial" w:hAnsi="Arial" w:cs="Arial"/>
          <w:sz w:val="23"/>
          <w:szCs w:val="23"/>
        </w:rPr>
        <w:t>encontra-se</w:t>
      </w:r>
      <w:proofErr w:type="gramEnd"/>
      <w:r w:rsidRPr="006B471E">
        <w:rPr>
          <w:rFonts w:ascii="Arial" w:hAnsi="Arial" w:cs="Arial"/>
          <w:sz w:val="23"/>
          <w:szCs w:val="23"/>
        </w:rPr>
        <w:t xml:space="preserve"> em consonância com o ordenamento jurídico municipal.</w:t>
      </w:r>
    </w:p>
    <w:p w14:paraId="6AA04FAB" w14:textId="77777777" w:rsidR="006C09E3" w:rsidRPr="006B471E" w:rsidRDefault="006C09E3" w:rsidP="006B471E">
      <w:pPr>
        <w:spacing w:before="240" w:line="276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6B471E">
        <w:rPr>
          <w:rFonts w:ascii="Arial" w:hAnsi="Arial" w:cs="Arial"/>
          <w:b/>
          <w:bCs/>
          <w:sz w:val="23"/>
          <w:szCs w:val="23"/>
        </w:rPr>
        <w:t>5. Da Técnica Legislativa</w:t>
      </w:r>
    </w:p>
    <w:p w14:paraId="46492D66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No que se refere à técnica legislativa, observa-se que o Projeto de Lei nº 41/2025 apresenta estrutura normativa adequada, com divisão em capítulos, artigos, incisos e parágrafos, observando os parâmetros estabelecidos pela Lei Complementar nº 95, de 26 de fevereiro de 1998, que dispõe sobre a elaboração, redação, alteração e consolidação das leis.</w:t>
      </w:r>
    </w:p>
    <w:p w14:paraId="005F7A2D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A redação do texto apresenta clareza, coerência e organização normativa compatível com os padrões legislativos.</w:t>
      </w:r>
    </w:p>
    <w:p w14:paraId="69DEB4D6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Não foram identificados vícios formais que impeçam sua tramitação legislativa.</w:t>
      </w:r>
    </w:p>
    <w:p w14:paraId="63204873" w14:textId="77777777" w:rsidR="006C09E3" w:rsidRPr="006B471E" w:rsidRDefault="006C09E3" w:rsidP="006B471E">
      <w:pPr>
        <w:spacing w:before="240" w:line="276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6B471E">
        <w:rPr>
          <w:rFonts w:ascii="Arial" w:hAnsi="Arial" w:cs="Arial"/>
          <w:b/>
          <w:bCs/>
          <w:sz w:val="23"/>
          <w:szCs w:val="23"/>
        </w:rPr>
        <w:t>III – VOTO DO RELATOR</w:t>
      </w:r>
    </w:p>
    <w:p w14:paraId="6497E49B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Diante da análise realizada, constata-se que o Projeto de Lei nº 41/2025:</w:t>
      </w:r>
    </w:p>
    <w:p w14:paraId="322A02D3" w14:textId="77777777" w:rsidR="006B471E" w:rsidRPr="006B471E" w:rsidRDefault="006B471E" w:rsidP="006B471E">
      <w:pPr>
        <w:numPr>
          <w:ilvl w:val="0"/>
          <w:numId w:val="5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encontra-se em conformidade com o art. 30 da Constituição Federal, que trata da competência legislativa municipal;</w:t>
      </w:r>
    </w:p>
    <w:p w14:paraId="10BB1D71" w14:textId="77777777" w:rsidR="006B471E" w:rsidRPr="006B471E" w:rsidRDefault="006B471E" w:rsidP="006B471E">
      <w:pPr>
        <w:numPr>
          <w:ilvl w:val="0"/>
          <w:numId w:val="5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respeita os princípios da Administração Pública previstos no art. 37 da Constituição Federal;</w:t>
      </w:r>
    </w:p>
    <w:p w14:paraId="756521C8" w14:textId="77777777" w:rsidR="006B471E" w:rsidRPr="006B471E" w:rsidRDefault="006B471E" w:rsidP="006B471E">
      <w:pPr>
        <w:numPr>
          <w:ilvl w:val="0"/>
          <w:numId w:val="5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está em consonância com a Lei Orgânica do Município de Acrelândia;</w:t>
      </w:r>
    </w:p>
    <w:p w14:paraId="43CDFC87" w14:textId="77777777" w:rsidR="006B471E" w:rsidRPr="006B471E" w:rsidRDefault="006B471E" w:rsidP="006B471E">
      <w:pPr>
        <w:numPr>
          <w:ilvl w:val="0"/>
          <w:numId w:val="5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não apresenta vício de iniciativa;</w:t>
      </w:r>
    </w:p>
    <w:p w14:paraId="505D9F15" w14:textId="77777777" w:rsidR="006B471E" w:rsidRPr="006B471E" w:rsidRDefault="006B471E" w:rsidP="006B471E">
      <w:pPr>
        <w:numPr>
          <w:ilvl w:val="0"/>
          <w:numId w:val="5"/>
        </w:numPr>
        <w:spacing w:before="240" w:line="276" w:lineRule="auto"/>
        <w:ind w:left="714" w:right="-425" w:hanging="357"/>
        <w:contextualSpacing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lastRenderedPageBreak/>
        <w:t>observa os critérios de legalidade, juridicidade e técnica legislativa.</w:t>
      </w:r>
    </w:p>
    <w:p w14:paraId="32ACD2E1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>Assim, não se verificam óbices constitucionais, legais ou regimentais à sua tramitação.</w:t>
      </w:r>
    </w:p>
    <w:p w14:paraId="447020FB" w14:textId="77777777" w:rsidR="006C09E3" w:rsidRPr="006B471E" w:rsidRDefault="006C09E3" w:rsidP="006B471E">
      <w:pPr>
        <w:spacing w:before="240" w:line="276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6B471E">
        <w:rPr>
          <w:rFonts w:ascii="Arial" w:hAnsi="Arial" w:cs="Arial"/>
          <w:b/>
          <w:bCs/>
          <w:sz w:val="23"/>
          <w:szCs w:val="23"/>
        </w:rPr>
        <w:t>IV – CONCLUSÃO</w:t>
      </w:r>
    </w:p>
    <w:p w14:paraId="298228D2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 xml:space="preserve">Ante o exposto, esta Comissão de Legislação, Justiça e Redação Final manifesta-se pela </w:t>
      </w:r>
      <w:r w:rsidRPr="006B471E">
        <w:rPr>
          <w:rFonts w:ascii="Arial" w:hAnsi="Arial" w:cs="Arial"/>
          <w:b/>
          <w:bCs/>
          <w:sz w:val="23"/>
          <w:szCs w:val="23"/>
        </w:rPr>
        <w:t>constitucionalidade, legalidade, juridicidade e adequada técnica legislativa</w:t>
      </w:r>
      <w:r w:rsidRPr="006B471E">
        <w:rPr>
          <w:rFonts w:ascii="Arial" w:hAnsi="Arial" w:cs="Arial"/>
          <w:sz w:val="23"/>
          <w:szCs w:val="23"/>
        </w:rPr>
        <w:t xml:space="preserve"> do Projeto de Lei nº 41/2025.</w:t>
      </w:r>
    </w:p>
    <w:p w14:paraId="0164DC4E" w14:textId="77777777" w:rsidR="006B471E" w:rsidRPr="006B471E" w:rsidRDefault="006B471E" w:rsidP="006B471E">
      <w:pPr>
        <w:spacing w:before="240" w:line="276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 xml:space="preserve">Dessa forma, esta Comissão vota pela </w:t>
      </w:r>
      <w:r w:rsidRPr="006B471E">
        <w:rPr>
          <w:rFonts w:ascii="Arial" w:hAnsi="Arial" w:cs="Arial"/>
          <w:b/>
          <w:bCs/>
          <w:sz w:val="23"/>
          <w:szCs w:val="23"/>
        </w:rPr>
        <w:t>APROVAÇÃO</w:t>
      </w:r>
      <w:r w:rsidRPr="006B471E">
        <w:rPr>
          <w:rFonts w:ascii="Arial" w:hAnsi="Arial" w:cs="Arial"/>
          <w:sz w:val="23"/>
          <w:szCs w:val="23"/>
        </w:rPr>
        <w:t xml:space="preserve"> do referido Projeto de Lei.</w:t>
      </w:r>
    </w:p>
    <w:p w14:paraId="12F43EA3" w14:textId="77777777" w:rsidR="006F3680" w:rsidRPr="006B471E" w:rsidRDefault="006F3680" w:rsidP="006B471E">
      <w:pPr>
        <w:spacing w:before="240" w:line="276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6B471E">
        <w:rPr>
          <w:rFonts w:ascii="Arial" w:hAnsi="Arial" w:cs="Arial"/>
          <w:sz w:val="23"/>
          <w:szCs w:val="23"/>
        </w:rPr>
        <w:tab/>
        <w:t>"</w:t>
      </w:r>
      <w:r w:rsidRPr="006B471E">
        <w:rPr>
          <w:rFonts w:ascii="Arial" w:hAnsi="Arial" w:cs="Arial"/>
          <w:b/>
          <w:sz w:val="23"/>
          <w:szCs w:val="23"/>
          <w:u w:val="single"/>
        </w:rPr>
        <w:t>Este é o parecer, salvo melhor juízo do soberano plenário"</w:t>
      </w:r>
      <w:r w:rsidRPr="006B471E">
        <w:rPr>
          <w:rFonts w:ascii="Arial" w:hAnsi="Arial" w:cs="Arial"/>
          <w:sz w:val="23"/>
          <w:szCs w:val="23"/>
        </w:rPr>
        <w:t>.</w:t>
      </w:r>
    </w:p>
    <w:p w14:paraId="71251801" w14:textId="55195E66" w:rsidR="006F3680" w:rsidRDefault="006F3680" w:rsidP="006B471E">
      <w:pPr>
        <w:spacing w:before="240"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447A9C">
        <w:rPr>
          <w:rFonts w:ascii="Arial" w:hAnsi="Arial" w:cs="Arial"/>
          <w:sz w:val="24"/>
          <w:szCs w:val="24"/>
        </w:rPr>
        <w:t>1</w:t>
      </w:r>
      <w:r w:rsidR="006C09E3">
        <w:rPr>
          <w:rFonts w:ascii="Arial" w:hAnsi="Arial" w:cs="Arial"/>
          <w:sz w:val="24"/>
          <w:szCs w:val="24"/>
        </w:rPr>
        <w:t>2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C09E3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6C09E3">
        <w:rPr>
          <w:rFonts w:ascii="Arial" w:hAnsi="Arial" w:cs="Arial"/>
          <w:sz w:val="24"/>
          <w:szCs w:val="24"/>
        </w:rPr>
        <w:t>6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B296C38" w14:textId="77777777" w:rsidR="006B471E" w:rsidRDefault="006B471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 xml:space="preserve">Rosangela Silva dos Santos/UB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5EE9F" w14:textId="77777777" w:rsidR="00961529" w:rsidRDefault="00961529" w:rsidP="008B1D5A">
      <w:r>
        <w:separator/>
      </w:r>
    </w:p>
  </w:endnote>
  <w:endnote w:type="continuationSeparator" w:id="0">
    <w:p w14:paraId="11307F98" w14:textId="77777777" w:rsidR="00961529" w:rsidRDefault="0096152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563ED" w14:textId="77777777" w:rsidR="00961529" w:rsidRDefault="00961529" w:rsidP="008B1D5A">
      <w:r>
        <w:separator/>
      </w:r>
    </w:p>
  </w:footnote>
  <w:footnote w:type="continuationSeparator" w:id="0">
    <w:p w14:paraId="3F1E383E" w14:textId="77777777" w:rsidR="00961529" w:rsidRDefault="0096152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B7E48"/>
    <w:multiLevelType w:val="multilevel"/>
    <w:tmpl w:val="A5E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FC334D"/>
    <w:multiLevelType w:val="multilevel"/>
    <w:tmpl w:val="A24A9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EB76B1"/>
    <w:multiLevelType w:val="multilevel"/>
    <w:tmpl w:val="832C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545402"/>
    <w:multiLevelType w:val="multilevel"/>
    <w:tmpl w:val="1082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CD0C99"/>
    <w:multiLevelType w:val="multilevel"/>
    <w:tmpl w:val="0C42B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8307778">
    <w:abstractNumId w:val="0"/>
  </w:num>
  <w:num w:numId="2" w16cid:durableId="2082214656">
    <w:abstractNumId w:val="3"/>
  </w:num>
  <w:num w:numId="3" w16cid:durableId="478688941">
    <w:abstractNumId w:val="2"/>
  </w:num>
  <w:num w:numId="4" w16cid:durableId="396560784">
    <w:abstractNumId w:val="1"/>
  </w:num>
  <w:num w:numId="5" w16cid:durableId="1760413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D34FA"/>
    <w:rsid w:val="000D671D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5F7FBE"/>
    <w:rsid w:val="0060649F"/>
    <w:rsid w:val="00607825"/>
    <w:rsid w:val="00620C24"/>
    <w:rsid w:val="00631604"/>
    <w:rsid w:val="00637067"/>
    <w:rsid w:val="00683BB2"/>
    <w:rsid w:val="006B471E"/>
    <w:rsid w:val="006C09E3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61529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42B31"/>
    <w:rsid w:val="00C93066"/>
    <w:rsid w:val="00CB5840"/>
    <w:rsid w:val="00CC02F9"/>
    <w:rsid w:val="00CE3F81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1035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2026-03-12T15:33:00Z</cp:lastPrinted>
  <dcterms:created xsi:type="dcterms:W3CDTF">2026-03-12T15:39:00Z</dcterms:created>
  <dcterms:modified xsi:type="dcterms:W3CDTF">2026-03-12T15:39:00Z</dcterms:modified>
</cp:coreProperties>
</file>