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49" w:type="dxa"/>
        <w:tblCellMar>
          <w:left w:w="70" w:type="dxa"/>
          <w:right w:w="70" w:type="dxa"/>
        </w:tblCellMar>
        <w:tblLook w:val="0000"/>
      </w:tblPr>
      <w:tblGrid>
        <w:gridCol w:w="9142"/>
        <w:gridCol w:w="6207"/>
      </w:tblGrid>
      <w:tr w:rsidR="002A619F" w:rsidRPr="00722ADC" w:rsidTr="00DC0F64">
        <w:tc>
          <w:tcPr>
            <w:tcW w:w="9142" w:type="dxa"/>
          </w:tcPr>
          <w:p w:rsidR="002A619F" w:rsidRPr="00722ADC" w:rsidRDefault="002A619F" w:rsidP="00DC0F64">
            <w:pPr>
              <w:pStyle w:val="Ttulo3"/>
              <w:ind w:right="-5456"/>
              <w:rPr>
                <w:rFonts w:ascii="Arial" w:hAnsi="Arial" w:cs="Arial"/>
              </w:rPr>
            </w:pPr>
            <w:r w:rsidRPr="00722ADC">
              <w:rPr>
                <w:rFonts w:ascii="Arial" w:hAnsi="Arial" w:cs="Arial"/>
                <w:sz w:val="22"/>
                <w:szCs w:val="22"/>
              </w:rPr>
              <w:t>LEI COMPLEMENTAR Nº</w:t>
            </w:r>
            <w:r>
              <w:rPr>
                <w:rFonts w:ascii="Arial" w:hAnsi="Arial" w:cs="Arial"/>
                <w:sz w:val="22"/>
                <w:szCs w:val="22"/>
              </w:rPr>
              <w:t xml:space="preserve"> 36</w:t>
            </w:r>
            <w:r w:rsidRPr="00722ADC">
              <w:rPr>
                <w:rFonts w:ascii="Arial" w:hAnsi="Arial" w:cs="Arial"/>
                <w:sz w:val="22"/>
                <w:szCs w:val="22"/>
              </w:rPr>
              <w:t>/2017</w:t>
            </w:r>
          </w:p>
          <w:p w:rsidR="002A619F" w:rsidRPr="00722ADC" w:rsidRDefault="002A619F" w:rsidP="00DC0F64">
            <w:pPr>
              <w:rPr>
                <w:rFonts w:ascii="Arial" w:hAnsi="Arial" w:cs="Arial"/>
              </w:rPr>
            </w:pPr>
          </w:p>
          <w:p w:rsidR="002A619F" w:rsidRPr="00722ADC" w:rsidRDefault="002A619F" w:rsidP="00DC0F64">
            <w:pPr>
              <w:rPr>
                <w:rFonts w:ascii="Arial" w:hAnsi="Arial" w:cs="Arial"/>
              </w:rPr>
            </w:pPr>
          </w:p>
          <w:p w:rsidR="002A619F" w:rsidRPr="00722ADC" w:rsidRDefault="002A619F" w:rsidP="00DC0F64">
            <w:pPr>
              <w:rPr>
                <w:rFonts w:ascii="Arial" w:hAnsi="Arial" w:cs="Arial"/>
              </w:rPr>
            </w:pPr>
          </w:p>
          <w:p w:rsidR="002A619F" w:rsidRPr="00722ADC" w:rsidRDefault="002A619F" w:rsidP="00DC0F64">
            <w:pPr>
              <w:rPr>
                <w:rFonts w:ascii="Arial" w:hAnsi="Arial" w:cs="Arial"/>
              </w:rPr>
            </w:pPr>
          </w:p>
        </w:tc>
        <w:tc>
          <w:tcPr>
            <w:tcW w:w="6207" w:type="dxa"/>
          </w:tcPr>
          <w:p w:rsidR="002A619F" w:rsidRPr="00722ADC" w:rsidRDefault="002A619F" w:rsidP="00DC0F6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2A619F" w:rsidRPr="00722ADC" w:rsidRDefault="002A619F" w:rsidP="002A619F">
      <w:pPr>
        <w:ind w:left="2832"/>
        <w:jc w:val="both"/>
        <w:rPr>
          <w:rFonts w:ascii="Arial" w:hAnsi="Arial" w:cs="Arial"/>
          <w:b/>
          <w:bCs/>
          <w:sz w:val="22"/>
          <w:szCs w:val="22"/>
        </w:rPr>
      </w:pPr>
      <w:r w:rsidRPr="00722ADC">
        <w:rPr>
          <w:rFonts w:ascii="Arial" w:hAnsi="Arial" w:cs="Arial"/>
          <w:b/>
          <w:bCs/>
          <w:sz w:val="22"/>
          <w:szCs w:val="22"/>
        </w:rPr>
        <w:t>ALTERA DISPOSITIVOS DA LEI COMPLEMENTAR Nº 1.603/2002</w:t>
      </w:r>
      <w:r>
        <w:rPr>
          <w:rFonts w:ascii="Arial" w:hAnsi="Arial" w:cs="Arial"/>
          <w:b/>
          <w:bCs/>
          <w:sz w:val="22"/>
          <w:szCs w:val="22"/>
        </w:rPr>
        <w:t>, E POSTERIORES ALTERAÇÕES,</w:t>
      </w:r>
      <w:proofErr w:type="gramStart"/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22AD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End"/>
      <w:r w:rsidRPr="00722ADC">
        <w:rPr>
          <w:rFonts w:ascii="Arial" w:hAnsi="Arial" w:cs="Arial"/>
          <w:b/>
          <w:bCs/>
          <w:sz w:val="22"/>
          <w:szCs w:val="22"/>
        </w:rPr>
        <w:t>QUE DISPÕE SOBRE O CÓDIGO TRIBUTÁRIO DO MUNICÍPIO DE GUARUJÁ DO SUL E DÁ OUTRAS PROVIDÊNCIAS.</w:t>
      </w:r>
    </w:p>
    <w:p w:rsidR="002A619F" w:rsidRPr="00722ADC" w:rsidRDefault="002A619F" w:rsidP="002A619F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A619F" w:rsidRPr="00722ADC" w:rsidRDefault="002A619F" w:rsidP="002A619F">
      <w:pPr>
        <w:ind w:left="2832"/>
        <w:jc w:val="both"/>
        <w:rPr>
          <w:rFonts w:ascii="Arial" w:hAnsi="Arial" w:cs="Arial"/>
          <w:b/>
          <w:bCs/>
          <w:sz w:val="22"/>
          <w:szCs w:val="22"/>
        </w:rPr>
      </w:pPr>
    </w:p>
    <w:p w:rsidR="002A619F" w:rsidRPr="00722ADC" w:rsidRDefault="002A619F" w:rsidP="002A619F">
      <w:pPr>
        <w:ind w:firstLine="2832"/>
        <w:jc w:val="both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b/>
          <w:sz w:val="22"/>
          <w:szCs w:val="22"/>
        </w:rPr>
        <w:t>CLÁUDIO JÚNIOR WESCHENFELDER</w:t>
      </w:r>
      <w:r w:rsidRPr="00722ADC">
        <w:rPr>
          <w:rFonts w:ascii="Arial" w:hAnsi="Arial" w:cs="Arial"/>
          <w:sz w:val="22"/>
          <w:szCs w:val="22"/>
        </w:rPr>
        <w:t xml:space="preserve">, Prefeito Municipal de Guarujá do Sul, Estado de Santa Catarina, no uso de suas atribuições legais dispostas na Lei Orgânica Municipal e demais Leis vigentes, </w:t>
      </w:r>
      <w:r w:rsidRPr="00722ADC">
        <w:rPr>
          <w:rFonts w:ascii="Arial" w:hAnsi="Arial" w:cs="Arial"/>
          <w:b/>
          <w:bCs/>
          <w:sz w:val="22"/>
          <w:szCs w:val="22"/>
        </w:rPr>
        <w:t>FAZ SABER</w:t>
      </w:r>
      <w:r w:rsidRPr="00722ADC">
        <w:rPr>
          <w:rFonts w:ascii="Arial" w:hAnsi="Arial" w:cs="Arial"/>
          <w:sz w:val="22"/>
          <w:szCs w:val="22"/>
        </w:rPr>
        <w:t xml:space="preserve"> a todos os habitantes do Município que a Câmara Municipal aprovou e eu promulgo e sanciono a seguinte Lei Complementar.</w:t>
      </w:r>
    </w:p>
    <w:p w:rsidR="002A619F" w:rsidRPr="00722ADC" w:rsidRDefault="002A619F" w:rsidP="002A619F">
      <w:pPr>
        <w:ind w:left="3540"/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ind w:left="3540"/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b/>
          <w:sz w:val="22"/>
          <w:szCs w:val="22"/>
        </w:rPr>
        <w:t>Art. 1º</w:t>
      </w:r>
      <w:r w:rsidRPr="00722ADC">
        <w:rPr>
          <w:rFonts w:ascii="Arial" w:hAnsi="Arial" w:cs="Arial"/>
          <w:sz w:val="22"/>
          <w:szCs w:val="22"/>
        </w:rPr>
        <w:t xml:space="preserve"> O Artigo 103, da Lei Complementar nº 1.603/2002, alterado pela Lei nº 1.782/2005 passa a vigorar com a seguinte redação:</w:t>
      </w: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b/>
          <w:i/>
          <w:sz w:val="22"/>
          <w:szCs w:val="22"/>
        </w:rPr>
        <w:t>Art. 103.</w:t>
      </w:r>
      <w:r w:rsidRPr="00722ADC">
        <w:rPr>
          <w:rFonts w:ascii="Arial" w:hAnsi="Arial" w:cs="Arial"/>
          <w:i/>
          <w:sz w:val="22"/>
          <w:szCs w:val="22"/>
        </w:rPr>
        <w:t xml:space="preserve"> Poderá ser concedido parcelamento de Dívida Ativa em até 48 (quarenta e oito) prestações mensais e sucessivas, sendo que o valor de cada parcela não será inferior a 16 (dezesseis) UFRM – Unidade Fiscal de Referencia Municipal.</w:t>
      </w: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b/>
          <w:sz w:val="22"/>
          <w:szCs w:val="22"/>
        </w:rPr>
        <w:t>Art. 2º</w:t>
      </w:r>
      <w:r w:rsidRPr="00722ADC">
        <w:rPr>
          <w:rFonts w:ascii="Arial" w:hAnsi="Arial" w:cs="Arial"/>
          <w:sz w:val="22"/>
          <w:szCs w:val="22"/>
        </w:rPr>
        <w:t xml:space="preserve"> O Artigo 139, da Lei Complementar nº 1.603/2002, alterado pela Lei nº 1.944/2008, passa a vigorar,</w:t>
      </w:r>
      <w:r>
        <w:rPr>
          <w:rFonts w:ascii="Arial" w:hAnsi="Arial" w:cs="Arial"/>
          <w:sz w:val="22"/>
          <w:szCs w:val="22"/>
        </w:rPr>
        <w:t xml:space="preserve"> com a seguinte redação, alterada a letra “a” do parágrafo 1º,</w:t>
      </w:r>
      <w:proofErr w:type="gramStart"/>
      <w:r>
        <w:rPr>
          <w:rFonts w:ascii="Arial" w:hAnsi="Arial" w:cs="Arial"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sz w:val="22"/>
          <w:szCs w:val="22"/>
        </w:rPr>
        <w:t xml:space="preserve">do inciso XI,   e </w:t>
      </w:r>
      <w:r w:rsidRPr="00722ADC">
        <w:rPr>
          <w:rFonts w:ascii="Arial" w:hAnsi="Arial" w:cs="Arial"/>
          <w:sz w:val="22"/>
          <w:szCs w:val="22"/>
        </w:rPr>
        <w:t>a inclusão do inciso XII e XIII:</w:t>
      </w: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722ADC">
        <w:rPr>
          <w:rFonts w:ascii="Arial" w:hAnsi="Arial" w:cs="Arial"/>
          <w:b/>
          <w:i/>
          <w:sz w:val="22"/>
          <w:szCs w:val="22"/>
          <w:lang w:val="en-US"/>
        </w:rPr>
        <w:t>Art. 139</w:t>
      </w:r>
      <w:proofErr w:type="gramStart"/>
      <w:r w:rsidRPr="00722ADC">
        <w:rPr>
          <w:rFonts w:ascii="Arial" w:hAnsi="Arial" w:cs="Arial"/>
          <w:i/>
          <w:sz w:val="22"/>
          <w:szCs w:val="22"/>
          <w:lang w:val="en-US"/>
        </w:rPr>
        <w:t>.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722ADC">
        <w:rPr>
          <w:rFonts w:ascii="Arial" w:hAnsi="Arial" w:cs="Arial"/>
          <w:i/>
          <w:sz w:val="22"/>
          <w:szCs w:val="22"/>
          <w:lang w:val="en-US"/>
        </w:rPr>
        <w:t xml:space="preserve">I </w:t>
      </w:r>
      <w:proofErr w:type="gramStart"/>
      <w:r w:rsidRPr="00722ADC">
        <w:rPr>
          <w:rFonts w:ascii="Arial" w:hAnsi="Arial" w:cs="Arial"/>
          <w:i/>
          <w:sz w:val="22"/>
          <w:szCs w:val="22"/>
          <w:lang w:val="en-US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722ADC">
        <w:rPr>
          <w:rFonts w:ascii="Arial" w:hAnsi="Arial" w:cs="Arial"/>
          <w:i/>
          <w:sz w:val="22"/>
          <w:szCs w:val="22"/>
          <w:lang w:val="en-US"/>
        </w:rPr>
        <w:t xml:space="preserve">II </w:t>
      </w:r>
      <w:proofErr w:type="gramStart"/>
      <w:r w:rsidRPr="00722ADC">
        <w:rPr>
          <w:rFonts w:ascii="Arial" w:hAnsi="Arial" w:cs="Arial"/>
          <w:i/>
          <w:sz w:val="22"/>
          <w:szCs w:val="22"/>
          <w:lang w:val="en-US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722ADC">
        <w:rPr>
          <w:rFonts w:ascii="Arial" w:hAnsi="Arial" w:cs="Arial"/>
          <w:i/>
          <w:sz w:val="22"/>
          <w:szCs w:val="22"/>
          <w:lang w:val="en-US"/>
        </w:rPr>
        <w:t xml:space="preserve">III </w:t>
      </w:r>
      <w:proofErr w:type="gramStart"/>
      <w:r w:rsidRPr="00722ADC">
        <w:rPr>
          <w:rFonts w:ascii="Arial" w:hAnsi="Arial" w:cs="Arial"/>
          <w:i/>
          <w:sz w:val="22"/>
          <w:szCs w:val="22"/>
          <w:lang w:val="en-US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722ADC">
        <w:rPr>
          <w:rFonts w:ascii="Arial" w:hAnsi="Arial" w:cs="Arial"/>
          <w:i/>
          <w:sz w:val="22"/>
          <w:szCs w:val="22"/>
          <w:lang w:val="en-US"/>
        </w:rPr>
        <w:t>IV - …</w:t>
      </w:r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 xml:space="preserve">V </w:t>
      </w:r>
      <w:proofErr w:type="gramStart"/>
      <w:r w:rsidRPr="00722ADC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 xml:space="preserve">VI </w:t>
      </w:r>
      <w:proofErr w:type="gramStart"/>
      <w:r w:rsidRPr="00722ADC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 xml:space="preserve">VII </w:t>
      </w:r>
      <w:proofErr w:type="gramStart"/>
      <w:r w:rsidRPr="00722ADC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 xml:space="preserve">VIII </w:t>
      </w:r>
      <w:proofErr w:type="gramStart"/>
      <w:r w:rsidRPr="00722ADC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>IX -...</w:t>
      </w:r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 xml:space="preserve">X </w:t>
      </w:r>
      <w:proofErr w:type="gramStart"/>
      <w:r w:rsidRPr="00722ADC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 xml:space="preserve">XI </w:t>
      </w:r>
      <w:proofErr w:type="gramStart"/>
      <w:r w:rsidRPr="00722ADC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</w:p>
    <w:p w:rsidR="002A619F" w:rsidRPr="00722ADC" w:rsidRDefault="002A619F" w:rsidP="002A619F">
      <w:pPr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>§ 1º</w:t>
      </w:r>
      <w:proofErr w:type="gramStart"/>
      <w:r w:rsidRPr="00722ADC">
        <w:rPr>
          <w:rFonts w:ascii="Arial" w:hAnsi="Arial" w:cs="Arial"/>
          <w:i/>
          <w:sz w:val="22"/>
          <w:szCs w:val="22"/>
        </w:rPr>
        <w:t>.....</w:t>
      </w:r>
      <w:proofErr w:type="gramEnd"/>
    </w:p>
    <w:p w:rsidR="002A619F" w:rsidRPr="00722ADC" w:rsidRDefault="002A619F" w:rsidP="002A619F">
      <w:pPr>
        <w:numPr>
          <w:ilvl w:val="0"/>
          <w:numId w:val="1"/>
        </w:numPr>
        <w:jc w:val="both"/>
        <w:rPr>
          <w:rFonts w:ascii="Arial" w:hAnsi="Arial" w:cs="Arial"/>
          <w:i/>
          <w:sz w:val="22"/>
          <w:szCs w:val="22"/>
        </w:rPr>
      </w:pPr>
      <w:proofErr w:type="gramStart"/>
      <w:r w:rsidRPr="00722ADC">
        <w:rPr>
          <w:rFonts w:ascii="Arial" w:hAnsi="Arial" w:cs="Arial"/>
          <w:sz w:val="22"/>
          <w:szCs w:val="22"/>
        </w:rPr>
        <w:t>o</w:t>
      </w:r>
      <w:proofErr w:type="gramEnd"/>
      <w:r w:rsidRPr="00722ADC">
        <w:rPr>
          <w:rFonts w:ascii="Arial" w:hAnsi="Arial" w:cs="Arial"/>
          <w:sz w:val="22"/>
          <w:szCs w:val="22"/>
        </w:rPr>
        <w:t xml:space="preserve"> prazo de isenção será de dois anos</w:t>
      </w:r>
      <w:r w:rsidRPr="00722ADC">
        <w:rPr>
          <w:rFonts w:ascii="Arial" w:hAnsi="Arial" w:cs="Arial"/>
          <w:b/>
          <w:sz w:val="22"/>
          <w:szCs w:val="22"/>
        </w:rPr>
        <w:t xml:space="preserve"> </w:t>
      </w:r>
      <w:r w:rsidRPr="00722ADC">
        <w:rPr>
          <w:rFonts w:ascii="Arial" w:hAnsi="Arial" w:cs="Arial"/>
          <w:sz w:val="22"/>
          <w:szCs w:val="22"/>
        </w:rPr>
        <w:t xml:space="preserve">a contar da data de </w:t>
      </w:r>
      <w:r w:rsidRPr="00722ADC">
        <w:rPr>
          <w:rFonts w:ascii="Arial" w:hAnsi="Arial" w:cs="Arial"/>
          <w:b/>
          <w:sz w:val="22"/>
          <w:szCs w:val="22"/>
        </w:rPr>
        <w:t>registro e abertura das matrículas dos</w:t>
      </w:r>
      <w:r w:rsidRPr="00722ADC">
        <w:rPr>
          <w:rFonts w:ascii="Arial" w:hAnsi="Arial" w:cs="Arial"/>
          <w:sz w:val="22"/>
          <w:szCs w:val="22"/>
        </w:rPr>
        <w:t xml:space="preserve"> lotes, mediante requerimento do proprietário e perdurará automaticamente pelo prazo previsto;</w:t>
      </w:r>
    </w:p>
    <w:p w:rsidR="002A619F" w:rsidRPr="00722ADC" w:rsidRDefault="002A619F" w:rsidP="002A619F">
      <w:pPr>
        <w:ind w:left="1068"/>
        <w:jc w:val="both"/>
        <w:rPr>
          <w:rFonts w:ascii="Arial" w:hAnsi="Arial" w:cs="Arial"/>
          <w:i/>
          <w:sz w:val="22"/>
          <w:szCs w:val="22"/>
        </w:rPr>
      </w:pPr>
    </w:p>
    <w:p w:rsidR="002A619F" w:rsidRPr="00722ADC" w:rsidRDefault="002A619F" w:rsidP="002A619F">
      <w:pPr>
        <w:ind w:left="708"/>
        <w:jc w:val="both"/>
        <w:rPr>
          <w:rStyle w:val="nfase"/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 xml:space="preserve">XII - </w:t>
      </w:r>
      <w:r w:rsidRPr="00722ADC">
        <w:rPr>
          <w:rStyle w:val="nfase"/>
          <w:rFonts w:ascii="Arial" w:hAnsi="Arial" w:cs="Arial"/>
          <w:sz w:val="22"/>
          <w:szCs w:val="22"/>
        </w:rPr>
        <w:t xml:space="preserve">Atividades autônomas ou realizadas por empreendedor individual em que o endereço seja a habitação cadastrada como residencial no município, sem </w:t>
      </w:r>
      <w:r w:rsidRPr="00722ADC">
        <w:rPr>
          <w:rStyle w:val="nfase"/>
          <w:rFonts w:ascii="Arial" w:hAnsi="Arial" w:cs="Arial"/>
          <w:sz w:val="22"/>
          <w:szCs w:val="22"/>
        </w:rPr>
        <w:lastRenderedPageBreak/>
        <w:t>atendimento ao público, sem portas abertas e sem estoque de mercadorias ou produtos, pois, esta área será incorporada no Imposto Predial do imóvel residencial;</w:t>
      </w:r>
    </w:p>
    <w:p w:rsidR="002A619F" w:rsidRPr="00722ADC" w:rsidRDefault="002A619F" w:rsidP="002A619F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Style w:val="nfase"/>
          <w:rFonts w:ascii="Arial" w:hAnsi="Arial" w:cs="Arial"/>
          <w:sz w:val="22"/>
          <w:szCs w:val="22"/>
        </w:rPr>
        <w:t>XIII - O Microempreendedor individual em que o endereço seja o mesmo cadastrado como residencial, pois esta área será incorporada no Imposto Predial do imóvel residencial;</w:t>
      </w: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b/>
          <w:sz w:val="22"/>
          <w:szCs w:val="22"/>
        </w:rPr>
        <w:t>Art. 3º</w:t>
      </w:r>
      <w:r w:rsidRPr="00722ADC">
        <w:rPr>
          <w:rFonts w:ascii="Arial" w:hAnsi="Arial" w:cs="Arial"/>
          <w:sz w:val="22"/>
          <w:szCs w:val="22"/>
        </w:rPr>
        <w:t xml:space="preserve"> O Artigo 140 e seu parágrafo único, da Lei Complementar nº 1.603/2002, alterado pela Lei nº 1.944/2008, passa a vigorar com a seguinte redação:</w:t>
      </w: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b/>
          <w:i/>
          <w:sz w:val="22"/>
          <w:szCs w:val="22"/>
        </w:rPr>
        <w:t>Art. 140.</w:t>
      </w:r>
      <w:r w:rsidRPr="00722ADC">
        <w:rPr>
          <w:rFonts w:ascii="Arial" w:hAnsi="Arial" w:cs="Arial"/>
          <w:i/>
          <w:sz w:val="22"/>
          <w:szCs w:val="22"/>
        </w:rPr>
        <w:t xml:space="preserve"> A isenção de que trata o artigo anterior deverá ser requerida anualmente pelo interessado no período compreendido entre 01 de outubro e 30 de novembro para o exercício subsequente, exceto para o inciso XII e XIII, caso que deverá ocorrer no momento da constituição.</w:t>
      </w:r>
    </w:p>
    <w:p w:rsidR="002A619F" w:rsidRPr="00722ADC" w:rsidRDefault="002A619F" w:rsidP="002A619F">
      <w:pPr>
        <w:jc w:val="both"/>
        <w:rPr>
          <w:rFonts w:ascii="Arial" w:hAnsi="Arial" w:cs="Arial"/>
          <w:i/>
          <w:sz w:val="22"/>
          <w:szCs w:val="22"/>
        </w:rPr>
      </w:pPr>
    </w:p>
    <w:p w:rsidR="002A619F" w:rsidRPr="00722ADC" w:rsidRDefault="002A619F" w:rsidP="002A619F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722ADC">
        <w:rPr>
          <w:rFonts w:ascii="Arial" w:hAnsi="Arial" w:cs="Arial"/>
          <w:i/>
          <w:sz w:val="22"/>
          <w:szCs w:val="22"/>
        </w:rPr>
        <w:t>Parágrafo único. A isenção só será concedida se o contribuinte não apresentar débitos/dívidas em aberto com o município, devendo estar com a sua regularidade fiscal em dia.</w:t>
      </w:r>
    </w:p>
    <w:p w:rsidR="002A619F" w:rsidRPr="00722ADC" w:rsidRDefault="002A619F" w:rsidP="002A619F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bCs/>
          <w:sz w:val="22"/>
          <w:szCs w:val="22"/>
        </w:rPr>
        <w:t>Art. 4º</w:t>
      </w:r>
      <w:r w:rsidRPr="005A5AB9">
        <w:rPr>
          <w:rFonts w:ascii="Arial" w:hAnsi="Arial" w:cs="Arial"/>
          <w:sz w:val="22"/>
          <w:szCs w:val="22"/>
        </w:rPr>
        <w:t xml:space="preserve"> O caput e incisos do artigo 168 da Lei Complementar nº 1.603/2002, alterado pela Lei Complementar 1.672/2003, passam a vigorar com as seguintes redações: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i/>
          <w:sz w:val="22"/>
          <w:szCs w:val="22"/>
        </w:rPr>
        <w:t xml:space="preserve">Art. 168. </w:t>
      </w:r>
      <w:r w:rsidRPr="005A5AB9">
        <w:rPr>
          <w:rFonts w:ascii="Arial" w:hAnsi="Arial" w:cs="Arial"/>
          <w:b w:val="0"/>
          <w:i/>
          <w:iCs/>
          <w:sz w:val="22"/>
          <w:szCs w:val="22"/>
        </w:rPr>
        <w:t>O serviço considera-se prestado e o imposto devido no local do estabelecimento prestador ou, na falta do estabelecimento, no local do domicílio do prestador, exceto nas hipóteses previstas nos incisos I ao XXV, quando o imposto será devido no local: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sz w:val="22"/>
          <w:szCs w:val="22"/>
        </w:rPr>
      </w:pPr>
      <w:r w:rsidRPr="005A5AB9">
        <w:rPr>
          <w:rFonts w:ascii="Arial" w:hAnsi="Arial" w:cs="Arial"/>
          <w:b w:val="0"/>
          <w:i/>
          <w:sz w:val="22"/>
          <w:szCs w:val="22"/>
        </w:rPr>
        <w:t>I – do estabelecimento do tomador ou intermediário do serviço ou, na falta de estabelecimento, onde ele estiver domiciliado, na hipótese do § 1º do art. 1º desta Lei Complementar;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II – da instalação dos andaimes, palcos, coberturas e outras estruturas, no caso dos serviços descritos no subitem 3.05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III – da execução da obra, no caso dos serviços descritos no subitem 7.02 e 7.19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IV – da demolição, no caso dos serviços descritos no subitem 7.04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V – das edificações em geral, estradas, pontes, portos e congêneres, no caso dos serviços descritos no subitem 7.05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VI – da execução da varrição, coleta, remoção, incineração, tratamento, reciclagem, separação e destinação final de lixo, rejeitos e outros resíduos quaisquer, no caso dos serviços descritos no subitem 7.09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VII – da execução da limpeza, manutenção e conservação de vias e logradouros públicos, imóveis, chaminés, piscinas, parques, jardins e congêneres, no caso dos serviços descritos no subitem 7.10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VIII – da execução da decoração e jardinagem, do corte e poda de árvores, no caso dos serviços descritos no subitem 7.11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Cs/>
          <w:sz w:val="22"/>
          <w:szCs w:val="22"/>
        </w:rPr>
      </w:pPr>
      <w:r w:rsidRPr="005A5AB9">
        <w:rPr>
          <w:rFonts w:ascii="Arial" w:hAnsi="Arial" w:cs="Arial"/>
          <w:b w:val="0"/>
          <w:iCs/>
          <w:sz w:val="22"/>
          <w:szCs w:val="22"/>
        </w:rPr>
        <w:t>IX – do controle e tratamento do efluente de qualquer natureza e de agentes físicos, químicos e biológicos, no caso dos serviços descritos no subitem 7.12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Cs/>
          <w:sz w:val="22"/>
          <w:szCs w:val="22"/>
        </w:rPr>
      </w:pPr>
      <w:r w:rsidRPr="005A5AB9">
        <w:rPr>
          <w:rFonts w:ascii="Arial" w:hAnsi="Arial" w:cs="Arial"/>
          <w:b w:val="0"/>
          <w:iCs/>
          <w:sz w:val="22"/>
          <w:szCs w:val="22"/>
        </w:rPr>
        <w:t>X – (Vetado);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Cs/>
          <w:sz w:val="22"/>
          <w:szCs w:val="22"/>
        </w:rPr>
      </w:pPr>
      <w:r w:rsidRPr="005A5AB9">
        <w:rPr>
          <w:rFonts w:ascii="Arial" w:hAnsi="Arial" w:cs="Arial"/>
          <w:b w:val="0"/>
          <w:iCs/>
          <w:sz w:val="22"/>
          <w:szCs w:val="22"/>
        </w:rPr>
        <w:t>XI – (Vetado);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 xml:space="preserve">XII – do florestamento, reflorestamento, semeadura, adubação, reparação de </w:t>
      </w:r>
      <w:r w:rsidRPr="005A5AB9">
        <w:rPr>
          <w:rFonts w:ascii="Arial" w:hAnsi="Arial" w:cs="Arial"/>
          <w:b w:val="0"/>
          <w:i/>
          <w:iCs/>
          <w:sz w:val="22"/>
          <w:szCs w:val="22"/>
        </w:rPr>
        <w:lastRenderedPageBreak/>
        <w:t>solo, plantio, silagem, colheita, corte, descascamento de árvores, silvicultura, exploração florestal e serviços congêneres indissociáveis da formação, manutenção e colheita de florestas para quaisquer fins e por quaisquer meios, no caso dos serviços descritos no subitem 7.16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XIII – da execução dos serviços de escoramento, contenção de encostas e congêneres, no caso dos serviços descritos no subitem 7.17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XIV – da limpeza e dragagem, no caso dos serviços descritos no subitem 7.18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XV – onde o bem estiver guardado ou estacionado, no caso dos serviços descritos no subitem 11.01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XVI – dos bens, dos semoventes ou do domicílio das pessoas vigiados, segurados ou monitorados, no caso dos serviços descritos no subitem 11.02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XVII – do armazenamento, depósito, carga, descarga, arrumação e guarda do bem, no caso dos serviços descritos no subitem 11.04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XVIII – da execução dos serviços de diversão, lazer, entretenimento e congêneres, no caso dos serviços descritos nos subitens do item 12, exceto o 12.13,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XIX – do Município onde está sendo executado o transporte, no caso dos serviços descritos pelo item 16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XX – do estabelecimento do tomador da mão-de-obra ou, na falta de estabelecimento, onde ele estiver domiciliado, no caso dos serviços descritos pelo subitem 17.05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XXI – da feira, exposição, congresso ou congênere a que se referir o planejamento, organização e administração, no caso dos serviços descritos pelo subitem 17.10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 xml:space="preserve">XXII – do porto, aeroporto, </w:t>
      </w:r>
      <w:proofErr w:type="spellStart"/>
      <w:r w:rsidRPr="005A5AB9">
        <w:rPr>
          <w:rFonts w:ascii="Arial" w:hAnsi="Arial" w:cs="Arial"/>
          <w:b w:val="0"/>
          <w:i/>
          <w:iCs/>
          <w:sz w:val="22"/>
          <w:szCs w:val="22"/>
        </w:rPr>
        <w:t>ferroporto</w:t>
      </w:r>
      <w:proofErr w:type="spellEnd"/>
      <w:r w:rsidRPr="005A5AB9">
        <w:rPr>
          <w:rFonts w:ascii="Arial" w:hAnsi="Arial" w:cs="Arial"/>
          <w:b w:val="0"/>
          <w:i/>
          <w:iCs/>
          <w:sz w:val="22"/>
          <w:szCs w:val="22"/>
        </w:rPr>
        <w:t>, terminal rodoviário, ferroviário ou metroviário, no caso dos serviços descritos pelo item 20 da Tabela de Serviços;</w:t>
      </w:r>
    </w:p>
    <w:p w:rsidR="002A619F" w:rsidRPr="005A5AB9" w:rsidRDefault="002A619F" w:rsidP="002A619F">
      <w:pPr>
        <w:pStyle w:val="Artigo"/>
        <w:widowControl w:val="0"/>
        <w:spacing w:before="0"/>
        <w:ind w:firstLine="72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XXIII – do domicílio do tomador dos serviços dos subitens 4.22, 4.23 e 5.09;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12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XXIV – do domicílio do tomador do serviço no caso dos serviços prestados pelas administradoras de cartão de crédito ou débito e demais descritos no subitem 15.01; e,</w:t>
      </w:r>
    </w:p>
    <w:p w:rsidR="002A619F" w:rsidRPr="005A5AB9" w:rsidRDefault="002A619F" w:rsidP="002A619F">
      <w:pPr>
        <w:pStyle w:val="Artigo"/>
        <w:widowControl w:val="0"/>
        <w:spacing w:before="0"/>
        <w:ind w:firstLine="72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b w:val="0"/>
          <w:i/>
          <w:iCs/>
          <w:sz w:val="22"/>
          <w:szCs w:val="22"/>
        </w:rPr>
        <w:t>XXV – do domicílio do tomador dos serviços dos subitens 10.04 e 15.09.</w:t>
      </w:r>
    </w:p>
    <w:p w:rsidR="002A619F" w:rsidRPr="005A5AB9" w:rsidRDefault="002A619F" w:rsidP="002A619F">
      <w:pPr>
        <w:pStyle w:val="Artigo"/>
        <w:widowControl w:val="0"/>
        <w:spacing w:before="0"/>
        <w:ind w:firstLine="720"/>
        <w:rPr>
          <w:rFonts w:ascii="Arial" w:hAnsi="Arial" w:cs="Arial"/>
          <w:b w:val="0"/>
          <w:i/>
          <w:iCs/>
          <w:sz w:val="22"/>
          <w:szCs w:val="22"/>
        </w:rPr>
      </w:pPr>
    </w:p>
    <w:p w:rsidR="002A619F" w:rsidRPr="005A5AB9" w:rsidRDefault="002A619F" w:rsidP="002A619F">
      <w:pPr>
        <w:pStyle w:val="Artigo"/>
        <w:widowControl w:val="0"/>
        <w:spacing w:before="0"/>
        <w:ind w:firstLine="720"/>
        <w:rPr>
          <w:rFonts w:ascii="Arial" w:hAnsi="Arial" w:cs="Arial"/>
          <w:b w:val="0"/>
          <w:i/>
          <w:iCs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bCs/>
          <w:sz w:val="22"/>
          <w:szCs w:val="22"/>
        </w:rPr>
        <w:t>Art. 5º</w:t>
      </w:r>
      <w:r w:rsidRPr="005A5AB9">
        <w:rPr>
          <w:rFonts w:ascii="Arial" w:hAnsi="Arial" w:cs="Arial"/>
          <w:sz w:val="22"/>
          <w:szCs w:val="22"/>
        </w:rPr>
        <w:t xml:space="preserve"> O inciso II, do § 2º, do artigo 170 da Lei Complementar nº 1.603/2002, alterado pela Lei Complementar 1.672/2003, passa a vigorar com a seguinte redação: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sz w:val="22"/>
          <w:szCs w:val="22"/>
        </w:rPr>
      </w:pPr>
      <w:r w:rsidRPr="005A5AB9">
        <w:rPr>
          <w:rFonts w:ascii="Arial" w:hAnsi="Arial" w:cs="Arial"/>
          <w:i/>
          <w:sz w:val="22"/>
          <w:szCs w:val="22"/>
        </w:rPr>
        <w:t xml:space="preserve">Art. 170. </w:t>
      </w:r>
      <w:r w:rsidRPr="005A5AB9">
        <w:rPr>
          <w:rFonts w:ascii="Arial" w:hAnsi="Arial" w:cs="Arial"/>
          <w:b w:val="0"/>
          <w:i/>
          <w:sz w:val="22"/>
          <w:szCs w:val="22"/>
        </w:rPr>
        <w:t>...</w:t>
      </w:r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i/>
          <w:sz w:val="22"/>
          <w:szCs w:val="22"/>
        </w:rPr>
      </w:pPr>
      <w:r w:rsidRPr="005A5AB9">
        <w:rPr>
          <w:rFonts w:ascii="Arial" w:hAnsi="Arial" w:cs="Arial"/>
          <w:i/>
          <w:sz w:val="22"/>
          <w:szCs w:val="22"/>
        </w:rPr>
        <w:t xml:space="preserve">§ 1º </w:t>
      </w:r>
      <w:proofErr w:type="gramStart"/>
      <w:r w:rsidRPr="005A5AB9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sz w:val="22"/>
          <w:szCs w:val="22"/>
        </w:rPr>
      </w:pPr>
      <w:r w:rsidRPr="005A5AB9">
        <w:rPr>
          <w:rFonts w:ascii="Arial" w:hAnsi="Arial" w:cs="Arial"/>
          <w:i/>
          <w:sz w:val="22"/>
          <w:szCs w:val="22"/>
        </w:rPr>
        <w:t>§ 2º</w:t>
      </w:r>
      <w:proofErr w:type="gramStart"/>
      <w:r w:rsidRPr="005A5AB9">
        <w:rPr>
          <w:rFonts w:ascii="Arial" w:hAnsi="Arial" w:cs="Arial"/>
          <w:i/>
          <w:sz w:val="22"/>
          <w:szCs w:val="22"/>
        </w:rPr>
        <w:t xml:space="preserve">- </w:t>
      </w:r>
      <w:r w:rsidRPr="005A5AB9">
        <w:rPr>
          <w:rFonts w:ascii="Arial" w:hAnsi="Arial" w:cs="Arial"/>
          <w:b w:val="0"/>
          <w:i/>
          <w:sz w:val="22"/>
          <w:szCs w:val="22"/>
        </w:rPr>
        <w:t>...</w:t>
      </w:r>
      <w:proofErr w:type="gramEnd"/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i/>
          <w:sz w:val="22"/>
          <w:szCs w:val="22"/>
        </w:rPr>
        <w:t xml:space="preserve">I </w:t>
      </w:r>
      <w:proofErr w:type="gramStart"/>
      <w:r w:rsidRPr="005A5AB9">
        <w:rPr>
          <w:rFonts w:ascii="Arial" w:hAnsi="Arial" w:cs="Arial"/>
          <w:i/>
          <w:sz w:val="22"/>
          <w:szCs w:val="22"/>
        </w:rPr>
        <w:t>- ...</w:t>
      </w:r>
      <w:proofErr w:type="gramEnd"/>
    </w:p>
    <w:p w:rsidR="002A619F" w:rsidRPr="005A5AB9" w:rsidRDefault="002A619F" w:rsidP="002A619F">
      <w:pPr>
        <w:pStyle w:val="Artigo"/>
        <w:widowControl w:val="0"/>
        <w:spacing w:before="0"/>
        <w:ind w:left="708" w:firstLine="0"/>
        <w:rPr>
          <w:rFonts w:ascii="Arial" w:hAnsi="Arial" w:cs="Arial"/>
          <w:b w:val="0"/>
          <w:i/>
          <w:iCs/>
          <w:sz w:val="22"/>
          <w:szCs w:val="22"/>
        </w:rPr>
      </w:pPr>
      <w:r w:rsidRPr="005A5AB9">
        <w:rPr>
          <w:rFonts w:ascii="Arial" w:hAnsi="Arial" w:cs="Arial"/>
          <w:i/>
          <w:iCs/>
          <w:sz w:val="22"/>
          <w:szCs w:val="22"/>
        </w:rPr>
        <w:t xml:space="preserve">II - </w:t>
      </w:r>
      <w:r w:rsidRPr="005A5AB9">
        <w:rPr>
          <w:rFonts w:ascii="Arial" w:hAnsi="Arial" w:cs="Arial"/>
          <w:b w:val="0"/>
          <w:i/>
          <w:iCs/>
          <w:sz w:val="22"/>
          <w:szCs w:val="22"/>
        </w:rPr>
        <w:t xml:space="preserve">A pessoa jurídica, ainda que imune ou </w:t>
      </w:r>
      <w:proofErr w:type="gramStart"/>
      <w:r w:rsidRPr="005A5AB9">
        <w:rPr>
          <w:rFonts w:ascii="Arial" w:hAnsi="Arial" w:cs="Arial"/>
          <w:b w:val="0"/>
          <w:i/>
          <w:iCs/>
          <w:sz w:val="22"/>
          <w:szCs w:val="22"/>
        </w:rPr>
        <w:t>isenta</w:t>
      </w:r>
      <w:proofErr w:type="gramEnd"/>
      <w:r w:rsidRPr="005A5AB9">
        <w:rPr>
          <w:rFonts w:ascii="Arial" w:hAnsi="Arial" w:cs="Arial"/>
          <w:b w:val="0"/>
          <w:i/>
          <w:iCs/>
          <w:sz w:val="22"/>
          <w:szCs w:val="22"/>
        </w:rPr>
        <w:t>, tomadora ou intermediária dos serviços descritos nos subitens 3.04, 3.05, 7.02, 7.04, 7.05, 7.09, 7.10, 7.11, 7.12, 7.16, 7.17, 7.18, 7.19, 11.01, 11.02, 11.04, 12.01 a 12.17 (exceto 12.13), 16.01, 16.02, 17.05, 17.10, 20.01, 20.02, 20.03 e 22.01 da lista anexa.</w:t>
      </w:r>
    </w:p>
    <w:p w:rsidR="002A619F" w:rsidRPr="00722ADC" w:rsidRDefault="002A619F" w:rsidP="002A619F">
      <w:pPr>
        <w:jc w:val="both"/>
        <w:rPr>
          <w:rFonts w:ascii="Arial" w:hAnsi="Arial" w:cs="Arial"/>
          <w:i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i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b/>
          <w:sz w:val="22"/>
          <w:szCs w:val="22"/>
        </w:rPr>
        <w:t>Art. 6º</w:t>
      </w:r>
      <w:r w:rsidRPr="00722ADC">
        <w:rPr>
          <w:rFonts w:ascii="Arial" w:hAnsi="Arial" w:cs="Arial"/>
          <w:sz w:val="22"/>
          <w:szCs w:val="22"/>
        </w:rPr>
        <w:t xml:space="preserve"> O Artigo 252, da Lei Complementar nº 1.603/2002, </w:t>
      </w:r>
      <w:r>
        <w:rPr>
          <w:rFonts w:ascii="Arial" w:hAnsi="Arial" w:cs="Arial"/>
          <w:sz w:val="22"/>
          <w:szCs w:val="22"/>
        </w:rPr>
        <w:t xml:space="preserve">alterado pela Lei Complementar nº 15/2014, </w:t>
      </w:r>
      <w:r w:rsidRPr="00722ADC">
        <w:rPr>
          <w:rFonts w:ascii="Arial" w:hAnsi="Arial" w:cs="Arial"/>
          <w:sz w:val="22"/>
          <w:szCs w:val="22"/>
        </w:rPr>
        <w:t>passa a vigorar com a seguinte redação, com a inclusão do inciso VII e parágrafo único:</w:t>
      </w: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pStyle w:val="Corpodetexto2"/>
        <w:ind w:firstLine="708"/>
        <w:rPr>
          <w:rFonts w:ascii="Arial" w:hAnsi="Arial" w:cs="Arial"/>
          <w:sz w:val="22"/>
          <w:szCs w:val="22"/>
          <w:lang w:val="en-US"/>
        </w:rPr>
      </w:pPr>
      <w:r w:rsidRPr="00722ADC">
        <w:rPr>
          <w:rFonts w:ascii="Arial" w:hAnsi="Arial" w:cs="Arial"/>
          <w:b/>
          <w:sz w:val="22"/>
          <w:szCs w:val="22"/>
          <w:lang w:val="en-US"/>
        </w:rPr>
        <w:t xml:space="preserve">Art. 252. </w:t>
      </w:r>
      <w:r w:rsidRPr="00722ADC">
        <w:rPr>
          <w:rFonts w:ascii="Arial" w:hAnsi="Arial" w:cs="Arial"/>
          <w:sz w:val="22"/>
          <w:szCs w:val="22"/>
          <w:lang w:val="en-US"/>
        </w:rPr>
        <w:t>…</w:t>
      </w:r>
    </w:p>
    <w:p w:rsidR="002A619F" w:rsidRPr="002A619F" w:rsidRDefault="002A619F" w:rsidP="002A619F">
      <w:pPr>
        <w:pStyle w:val="Corpodetexto2"/>
        <w:ind w:firstLine="708"/>
        <w:rPr>
          <w:rFonts w:ascii="Arial" w:hAnsi="Arial" w:cs="Arial"/>
          <w:sz w:val="22"/>
          <w:szCs w:val="22"/>
          <w:lang w:val="en-US"/>
        </w:rPr>
      </w:pPr>
      <w:r w:rsidRPr="002A619F">
        <w:rPr>
          <w:rFonts w:ascii="Arial" w:hAnsi="Arial" w:cs="Arial"/>
          <w:sz w:val="22"/>
          <w:szCs w:val="22"/>
          <w:lang w:val="en-US"/>
        </w:rPr>
        <w:t>I - ...</w:t>
      </w:r>
    </w:p>
    <w:p w:rsidR="002A619F" w:rsidRPr="002A619F" w:rsidRDefault="002A619F" w:rsidP="002A619F">
      <w:pPr>
        <w:pStyle w:val="Corpodetexto2"/>
        <w:ind w:firstLine="708"/>
        <w:rPr>
          <w:rFonts w:ascii="Arial" w:hAnsi="Arial" w:cs="Arial"/>
          <w:sz w:val="22"/>
          <w:szCs w:val="22"/>
          <w:lang w:val="en-US"/>
        </w:rPr>
      </w:pPr>
      <w:r w:rsidRPr="002A619F">
        <w:rPr>
          <w:rFonts w:ascii="Arial" w:hAnsi="Arial" w:cs="Arial"/>
          <w:sz w:val="22"/>
          <w:szCs w:val="22"/>
          <w:lang w:val="en-US"/>
        </w:rPr>
        <w:lastRenderedPageBreak/>
        <w:t>II - ...</w:t>
      </w:r>
    </w:p>
    <w:p w:rsidR="002A619F" w:rsidRPr="002A619F" w:rsidRDefault="002A619F" w:rsidP="002A619F">
      <w:pPr>
        <w:pStyle w:val="Corpodetexto2"/>
        <w:ind w:firstLine="708"/>
        <w:rPr>
          <w:rFonts w:ascii="Arial" w:hAnsi="Arial" w:cs="Arial"/>
          <w:sz w:val="22"/>
          <w:szCs w:val="22"/>
          <w:lang w:val="en-US"/>
        </w:rPr>
      </w:pPr>
      <w:r w:rsidRPr="002A619F">
        <w:rPr>
          <w:rFonts w:ascii="Arial" w:hAnsi="Arial" w:cs="Arial"/>
          <w:sz w:val="22"/>
          <w:szCs w:val="22"/>
          <w:lang w:val="en-US"/>
        </w:rPr>
        <w:t>III - ...</w:t>
      </w:r>
    </w:p>
    <w:p w:rsidR="002A619F" w:rsidRPr="002A619F" w:rsidRDefault="002A619F" w:rsidP="002A619F">
      <w:pPr>
        <w:pStyle w:val="Corpodetexto2"/>
        <w:ind w:firstLine="708"/>
        <w:rPr>
          <w:rFonts w:ascii="Arial" w:hAnsi="Arial" w:cs="Arial"/>
          <w:sz w:val="22"/>
          <w:szCs w:val="22"/>
          <w:lang w:val="en-US"/>
        </w:rPr>
      </w:pPr>
      <w:r w:rsidRPr="002A619F">
        <w:rPr>
          <w:rFonts w:ascii="Arial" w:hAnsi="Arial" w:cs="Arial"/>
          <w:sz w:val="22"/>
          <w:szCs w:val="22"/>
          <w:lang w:val="en-US"/>
        </w:rPr>
        <w:t>IV - ...</w:t>
      </w:r>
    </w:p>
    <w:p w:rsidR="002A619F" w:rsidRPr="00722ADC" w:rsidRDefault="002A619F" w:rsidP="002A619F">
      <w:pPr>
        <w:pStyle w:val="Corpodetexto2"/>
        <w:ind w:firstLine="708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sz w:val="22"/>
          <w:szCs w:val="22"/>
        </w:rPr>
        <w:t xml:space="preserve">V </w:t>
      </w:r>
      <w:proofErr w:type="gramStart"/>
      <w:r w:rsidRPr="00722ADC">
        <w:rPr>
          <w:rFonts w:ascii="Arial" w:hAnsi="Arial" w:cs="Arial"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pStyle w:val="Corpodetexto2"/>
        <w:ind w:firstLine="708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sz w:val="22"/>
          <w:szCs w:val="22"/>
        </w:rPr>
        <w:t xml:space="preserve">VI </w:t>
      </w:r>
      <w:proofErr w:type="gramStart"/>
      <w:r w:rsidRPr="00722ADC">
        <w:rPr>
          <w:rFonts w:ascii="Arial" w:hAnsi="Arial" w:cs="Arial"/>
          <w:sz w:val="22"/>
          <w:szCs w:val="22"/>
        </w:rPr>
        <w:t>- ...</w:t>
      </w:r>
      <w:proofErr w:type="gramEnd"/>
    </w:p>
    <w:p w:rsidR="002A619F" w:rsidRPr="00722ADC" w:rsidRDefault="002A619F" w:rsidP="002A619F">
      <w:pPr>
        <w:pStyle w:val="Corpodetexto2"/>
        <w:ind w:left="708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sz w:val="22"/>
          <w:szCs w:val="22"/>
        </w:rPr>
        <w:t>VII - O Microempreendedor Individual – MEI, a que se refere o § 3º, artigo 4º da Lei Complementar Federal 147/2014, optante pelo Sistema de Recolhimento em valores fixos mensais dos tributos abrangidos pelo Simples Nacional.</w:t>
      </w:r>
    </w:p>
    <w:p w:rsidR="002A619F" w:rsidRPr="00722ADC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722ADC" w:rsidRDefault="002A619F" w:rsidP="002A619F">
      <w:pPr>
        <w:ind w:left="708"/>
        <w:jc w:val="both"/>
        <w:rPr>
          <w:rFonts w:ascii="Arial" w:hAnsi="Arial" w:cs="Arial"/>
          <w:sz w:val="22"/>
          <w:szCs w:val="22"/>
        </w:rPr>
      </w:pPr>
      <w:r w:rsidRPr="00722ADC">
        <w:rPr>
          <w:rFonts w:ascii="Arial" w:hAnsi="Arial" w:cs="Arial"/>
          <w:sz w:val="22"/>
          <w:szCs w:val="22"/>
        </w:rPr>
        <w:t>Parágrafo único. A isenção de que trata o inciso VII não exime o Microempreendedor Individual – MEI da inscrição e atualização de seus dados no Cadastro de Contribuintes do Município e do cumprimento das demais obrigações acessórias.</w:t>
      </w:r>
    </w:p>
    <w:p w:rsidR="002A619F" w:rsidRPr="00722ADC" w:rsidRDefault="002A619F" w:rsidP="002A619F">
      <w:pPr>
        <w:jc w:val="both"/>
        <w:rPr>
          <w:rFonts w:ascii="Arial" w:hAnsi="Arial" w:cs="Arial"/>
          <w:i/>
          <w:sz w:val="22"/>
          <w:szCs w:val="22"/>
        </w:rPr>
      </w:pPr>
    </w:p>
    <w:p w:rsidR="002A619F" w:rsidRPr="00722ADC" w:rsidRDefault="002A619F" w:rsidP="002A619F">
      <w:pPr>
        <w:jc w:val="both"/>
        <w:rPr>
          <w:rFonts w:ascii="Arial" w:hAnsi="Arial" w:cs="Arial"/>
          <w:i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bCs/>
          <w:sz w:val="22"/>
          <w:szCs w:val="22"/>
        </w:rPr>
        <w:t>Art. 7º</w:t>
      </w:r>
      <w:r w:rsidRPr="005A5AB9">
        <w:rPr>
          <w:rFonts w:ascii="Arial" w:hAnsi="Arial" w:cs="Arial"/>
          <w:sz w:val="22"/>
          <w:szCs w:val="22"/>
        </w:rPr>
        <w:t xml:space="preserve"> Os subitens 1.03, 1.04, 7.16, 11.02, 13.05, 14.05, 16.01 e 25.02 da Tabela XII - Lista de Serviços instituída pelo artigo 164 da Lei Complementar nº 1.603/2002, alterada pela Lei nº 1.672/2003, passam a ter as seguintes redações: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1.03</w:t>
      </w:r>
      <w:r w:rsidRPr="005A5AB9">
        <w:rPr>
          <w:rFonts w:ascii="Arial" w:hAnsi="Arial" w:cs="Arial"/>
          <w:sz w:val="22"/>
          <w:szCs w:val="22"/>
        </w:rPr>
        <w:t xml:space="preserve"> – Processamento, </w:t>
      </w:r>
      <w:r w:rsidRPr="005A5AB9">
        <w:rPr>
          <w:rFonts w:ascii="Arial" w:hAnsi="Arial" w:cs="Arial"/>
          <w:b/>
          <w:sz w:val="22"/>
          <w:szCs w:val="22"/>
        </w:rPr>
        <w:t>armazenamento ou hospedagem de dados, textos, imagens, vídeos, páginas eletrônicas, aplicativos e sistemas de informação, entre outros formatos</w:t>
      </w:r>
      <w:r w:rsidRPr="005A5AB9">
        <w:rPr>
          <w:rFonts w:ascii="Arial" w:hAnsi="Arial" w:cs="Arial"/>
          <w:sz w:val="22"/>
          <w:szCs w:val="22"/>
        </w:rPr>
        <w:t>, e congêneres.</w:t>
      </w: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1.04</w:t>
      </w:r>
      <w:r w:rsidRPr="005A5AB9">
        <w:rPr>
          <w:rFonts w:ascii="Arial" w:hAnsi="Arial" w:cs="Arial"/>
          <w:sz w:val="22"/>
          <w:szCs w:val="22"/>
        </w:rPr>
        <w:t xml:space="preserve"> – Elaboração de programas de computadores, inclusive de jogos eletrônicos, </w:t>
      </w:r>
      <w:r w:rsidRPr="005A5AB9">
        <w:rPr>
          <w:rFonts w:ascii="Arial" w:hAnsi="Arial" w:cs="Arial"/>
          <w:b/>
          <w:sz w:val="22"/>
          <w:szCs w:val="22"/>
        </w:rPr>
        <w:t xml:space="preserve">independentemente da arquitetura construtiva da máquina em que o programa será executado, incluindo </w:t>
      </w:r>
      <w:proofErr w:type="spellStart"/>
      <w:r w:rsidRPr="005A5AB9">
        <w:rPr>
          <w:rFonts w:ascii="Arial" w:hAnsi="Arial" w:cs="Arial"/>
          <w:b/>
          <w:sz w:val="22"/>
          <w:szCs w:val="22"/>
        </w:rPr>
        <w:t>tablets</w:t>
      </w:r>
      <w:proofErr w:type="spellEnd"/>
      <w:r w:rsidRPr="005A5AB9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5A5AB9">
        <w:rPr>
          <w:rFonts w:ascii="Arial" w:hAnsi="Arial" w:cs="Arial"/>
          <w:b/>
          <w:sz w:val="22"/>
          <w:szCs w:val="22"/>
        </w:rPr>
        <w:t>smartphones</w:t>
      </w:r>
      <w:proofErr w:type="spellEnd"/>
      <w:r w:rsidRPr="005A5AB9">
        <w:rPr>
          <w:rFonts w:ascii="Arial" w:hAnsi="Arial" w:cs="Arial"/>
          <w:b/>
          <w:sz w:val="22"/>
          <w:szCs w:val="22"/>
        </w:rPr>
        <w:t xml:space="preserve"> e congêneres.</w:t>
      </w: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7.16</w:t>
      </w:r>
      <w:r w:rsidRPr="005A5AB9">
        <w:rPr>
          <w:rFonts w:ascii="Arial" w:hAnsi="Arial" w:cs="Arial"/>
          <w:sz w:val="22"/>
          <w:szCs w:val="22"/>
        </w:rPr>
        <w:t xml:space="preserve"> – Florestamento, reflorestamento, semeadura, adubação, </w:t>
      </w:r>
      <w:r w:rsidRPr="005A5AB9">
        <w:rPr>
          <w:rFonts w:ascii="Arial" w:hAnsi="Arial" w:cs="Arial"/>
          <w:b/>
          <w:sz w:val="22"/>
          <w:szCs w:val="22"/>
        </w:rPr>
        <w:t>reparação de solo, plantio, silagem, colheita, corte e descascamento de árvores, silvicultura, exploração florestal e dos serviços congêneres indissociáveis da formação, manutenção e colheita de florestas, para quaisquer fins e por quaisquer meios.</w:t>
      </w: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5A5AB9">
        <w:rPr>
          <w:rFonts w:ascii="Arial" w:hAnsi="Arial" w:cs="Arial"/>
          <w:b/>
          <w:sz w:val="22"/>
          <w:szCs w:val="22"/>
        </w:rPr>
        <w:t>11.02</w:t>
      </w:r>
      <w:r w:rsidRPr="005A5AB9">
        <w:rPr>
          <w:rFonts w:ascii="Arial" w:hAnsi="Arial" w:cs="Arial"/>
          <w:sz w:val="22"/>
          <w:szCs w:val="22"/>
        </w:rPr>
        <w:t xml:space="preserve"> – Vigilância</w:t>
      </w:r>
      <w:proofErr w:type="gramEnd"/>
      <w:r w:rsidRPr="005A5AB9">
        <w:rPr>
          <w:rFonts w:ascii="Arial" w:hAnsi="Arial" w:cs="Arial"/>
          <w:sz w:val="22"/>
          <w:szCs w:val="22"/>
        </w:rPr>
        <w:t xml:space="preserve">, segurança ou monitoramento de bens, pessoas e </w:t>
      </w:r>
      <w:r w:rsidRPr="005A5AB9">
        <w:rPr>
          <w:rFonts w:ascii="Arial" w:hAnsi="Arial" w:cs="Arial"/>
          <w:b/>
          <w:sz w:val="22"/>
          <w:szCs w:val="22"/>
        </w:rPr>
        <w:t>semoventes</w:t>
      </w: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13.05</w:t>
      </w:r>
      <w:r w:rsidRPr="005A5AB9">
        <w:rPr>
          <w:rFonts w:ascii="Arial" w:hAnsi="Arial" w:cs="Arial"/>
          <w:sz w:val="22"/>
          <w:szCs w:val="22"/>
        </w:rPr>
        <w:t xml:space="preserve"> – Composição gráfica, </w:t>
      </w:r>
      <w:r w:rsidRPr="005A5AB9">
        <w:rPr>
          <w:rFonts w:ascii="Arial" w:hAnsi="Arial" w:cs="Arial"/>
          <w:b/>
          <w:sz w:val="22"/>
          <w:szCs w:val="22"/>
        </w:rPr>
        <w:t>inclusive confecção de impressos gráficos,</w:t>
      </w:r>
      <w:r w:rsidRPr="005A5AB9">
        <w:rPr>
          <w:rFonts w:ascii="Arial" w:hAnsi="Arial" w:cs="Arial"/>
          <w:sz w:val="22"/>
          <w:szCs w:val="22"/>
        </w:rPr>
        <w:t xml:space="preserve"> fotocomposição, clicheria, zincografia, litografia e fotolitografia, </w:t>
      </w:r>
      <w:r w:rsidRPr="005A5AB9">
        <w:rPr>
          <w:rFonts w:ascii="Arial" w:hAnsi="Arial" w:cs="Arial"/>
          <w:b/>
          <w:sz w:val="22"/>
          <w:szCs w:val="22"/>
        </w:rPr>
        <w:t>exceto se destinados a posterior operação de comercialização ou industrialização, ainda que incorporados, de qualquer forma, a outra mercadoria que deva ser objeto de posterior circulação, tais como bulas, rótulos, etiquetas, caixas, cartuchos, embalagens e manuais técnicos e de instrução, quando ficarão sujeitos ao ICMS.</w:t>
      </w: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14.05</w:t>
      </w:r>
      <w:r w:rsidRPr="005A5AB9">
        <w:rPr>
          <w:rFonts w:ascii="Arial" w:hAnsi="Arial" w:cs="Arial"/>
          <w:sz w:val="22"/>
          <w:szCs w:val="22"/>
        </w:rPr>
        <w:t xml:space="preserve"> – Restauração, recondicionamento, acondicionamento, pintura, beneficiamento, lavagem, secagem, </w:t>
      </w:r>
      <w:proofErr w:type="spellStart"/>
      <w:r w:rsidRPr="005A5AB9">
        <w:rPr>
          <w:rFonts w:ascii="Arial" w:hAnsi="Arial" w:cs="Arial"/>
          <w:sz w:val="22"/>
          <w:szCs w:val="22"/>
        </w:rPr>
        <w:t>tingimento</w:t>
      </w:r>
      <w:proofErr w:type="spellEnd"/>
      <w:r w:rsidRPr="005A5AB9">
        <w:rPr>
          <w:rFonts w:ascii="Arial" w:hAnsi="Arial" w:cs="Arial"/>
          <w:sz w:val="22"/>
          <w:szCs w:val="22"/>
        </w:rPr>
        <w:t xml:space="preserve">, galvanoplastia, </w:t>
      </w:r>
      <w:proofErr w:type="spellStart"/>
      <w:r w:rsidRPr="005A5AB9">
        <w:rPr>
          <w:rFonts w:ascii="Arial" w:hAnsi="Arial" w:cs="Arial"/>
          <w:sz w:val="22"/>
          <w:szCs w:val="22"/>
        </w:rPr>
        <w:t>anodização</w:t>
      </w:r>
      <w:proofErr w:type="spellEnd"/>
      <w:r w:rsidRPr="005A5AB9">
        <w:rPr>
          <w:rFonts w:ascii="Arial" w:hAnsi="Arial" w:cs="Arial"/>
          <w:sz w:val="22"/>
          <w:szCs w:val="22"/>
        </w:rPr>
        <w:t xml:space="preserve">, corte, recorte, </w:t>
      </w:r>
      <w:proofErr w:type="spellStart"/>
      <w:r w:rsidRPr="005A5AB9">
        <w:rPr>
          <w:rFonts w:ascii="Arial" w:hAnsi="Arial" w:cs="Arial"/>
          <w:sz w:val="22"/>
          <w:szCs w:val="22"/>
        </w:rPr>
        <w:t>plastificação</w:t>
      </w:r>
      <w:proofErr w:type="spellEnd"/>
      <w:r w:rsidRPr="005A5AB9">
        <w:rPr>
          <w:rFonts w:ascii="Arial" w:hAnsi="Arial" w:cs="Arial"/>
          <w:sz w:val="22"/>
          <w:szCs w:val="22"/>
        </w:rPr>
        <w:t xml:space="preserve">, </w:t>
      </w:r>
      <w:r w:rsidRPr="005A5AB9">
        <w:rPr>
          <w:rFonts w:ascii="Arial" w:hAnsi="Arial" w:cs="Arial"/>
          <w:b/>
          <w:sz w:val="22"/>
          <w:szCs w:val="22"/>
        </w:rPr>
        <w:t>costura, acabamento, polimento</w:t>
      </w:r>
      <w:r w:rsidRPr="005A5AB9">
        <w:rPr>
          <w:rFonts w:ascii="Arial" w:hAnsi="Arial" w:cs="Arial"/>
          <w:sz w:val="22"/>
          <w:szCs w:val="22"/>
        </w:rPr>
        <w:t xml:space="preserve"> e congêneres de objetos quaisquer.</w:t>
      </w: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16.01</w:t>
      </w:r>
      <w:r w:rsidRPr="005A5AB9">
        <w:rPr>
          <w:rFonts w:ascii="Arial" w:hAnsi="Arial" w:cs="Arial"/>
          <w:sz w:val="22"/>
          <w:szCs w:val="22"/>
        </w:rPr>
        <w:t xml:space="preserve"> – Serviços de transporte </w:t>
      </w:r>
      <w:r w:rsidRPr="005A5AB9">
        <w:rPr>
          <w:rFonts w:ascii="Arial" w:hAnsi="Arial" w:cs="Arial"/>
          <w:b/>
          <w:sz w:val="22"/>
          <w:szCs w:val="22"/>
        </w:rPr>
        <w:t xml:space="preserve">coletivo municipal rodoviário, metroviário, ferroviário e </w:t>
      </w:r>
      <w:proofErr w:type="spellStart"/>
      <w:r w:rsidRPr="005A5AB9">
        <w:rPr>
          <w:rFonts w:ascii="Arial" w:hAnsi="Arial" w:cs="Arial"/>
          <w:b/>
          <w:sz w:val="22"/>
          <w:szCs w:val="22"/>
        </w:rPr>
        <w:t>aquaviário</w:t>
      </w:r>
      <w:proofErr w:type="spellEnd"/>
      <w:r w:rsidRPr="005A5AB9">
        <w:rPr>
          <w:rFonts w:ascii="Arial" w:hAnsi="Arial" w:cs="Arial"/>
          <w:b/>
          <w:sz w:val="22"/>
          <w:szCs w:val="22"/>
        </w:rPr>
        <w:t xml:space="preserve"> de passageiros.</w:t>
      </w: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2A619F" w:rsidRPr="005A5AB9" w:rsidRDefault="002A619F" w:rsidP="002A619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25.02</w:t>
      </w:r>
      <w:r w:rsidRPr="005A5AB9">
        <w:rPr>
          <w:rFonts w:ascii="Arial" w:hAnsi="Arial" w:cs="Arial"/>
          <w:sz w:val="22"/>
          <w:szCs w:val="22"/>
        </w:rPr>
        <w:t xml:space="preserve"> – </w:t>
      </w:r>
      <w:r w:rsidRPr="005A5AB9">
        <w:rPr>
          <w:rFonts w:ascii="Arial" w:hAnsi="Arial" w:cs="Arial"/>
          <w:b/>
          <w:sz w:val="22"/>
          <w:szCs w:val="22"/>
        </w:rPr>
        <w:t>Translado intramunicipal</w:t>
      </w:r>
      <w:r w:rsidRPr="005A5AB9">
        <w:rPr>
          <w:rFonts w:ascii="Arial" w:hAnsi="Arial" w:cs="Arial"/>
          <w:sz w:val="22"/>
          <w:szCs w:val="22"/>
        </w:rPr>
        <w:t xml:space="preserve"> e cremação de corpos e partes de corpos cadavéricos.</w:t>
      </w:r>
    </w:p>
    <w:p w:rsidR="002A619F" w:rsidRPr="008A1D24" w:rsidRDefault="002A619F" w:rsidP="002A619F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2A619F" w:rsidRPr="008A1D24" w:rsidRDefault="002A619F" w:rsidP="002A619F">
      <w:pPr>
        <w:pStyle w:val="Artigo"/>
        <w:widowControl w:val="0"/>
        <w:spacing w:before="0"/>
        <w:ind w:firstLine="0"/>
        <w:rPr>
          <w:rFonts w:ascii="Arial" w:hAnsi="Arial" w:cs="Arial"/>
          <w:color w:val="FF0000"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lastRenderedPageBreak/>
        <w:t>Art. 8º</w:t>
      </w:r>
      <w:r w:rsidRPr="005A5AB9">
        <w:rPr>
          <w:rFonts w:ascii="Arial" w:hAnsi="Arial" w:cs="Arial"/>
          <w:sz w:val="22"/>
          <w:szCs w:val="22"/>
        </w:rPr>
        <w:t xml:space="preserve"> A Tabela XII, instituída pelo Parágrafo único do artigo 177, da Lei Complementar nº 1.603/2002, alterada pela Lei nº 1.672/2003, fica acrescida dos subitens 1.09, 6.06, 14.14, 16.02, 17.25 e 25.05, passam a ter as seguintes redações: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center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TABELA XII</w:t>
      </w:r>
    </w:p>
    <w:p w:rsidR="002A619F" w:rsidRPr="005A5AB9" w:rsidRDefault="002A619F" w:rsidP="002A619F">
      <w:pPr>
        <w:jc w:val="center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center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sz w:val="22"/>
          <w:szCs w:val="22"/>
        </w:rPr>
        <w:t>ALÍQUOTAS DO IMPOSTO SOBRE SERVIÇOS DE QUALQUER NATUREZA (ISSQN)</w:t>
      </w:r>
    </w:p>
    <w:tbl>
      <w:tblPr>
        <w:tblW w:w="908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069"/>
        <w:gridCol w:w="4331"/>
        <w:gridCol w:w="1620"/>
        <w:gridCol w:w="1348"/>
      </w:tblGrid>
      <w:tr w:rsidR="002A619F" w:rsidRPr="005A5AB9" w:rsidTr="00DC0F64">
        <w:trPr>
          <w:cantSplit/>
          <w:jc w:val="right"/>
        </w:trPr>
        <w:tc>
          <w:tcPr>
            <w:tcW w:w="9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19F" w:rsidRPr="005A5AB9" w:rsidRDefault="002A619F" w:rsidP="00DC0F64">
            <w:pPr>
              <w:pStyle w:val="Ttulo1"/>
              <w:keepNext w:val="0"/>
              <w:widowControl w:val="0"/>
              <w:spacing w:after="120" w:line="280" w:lineRule="exact"/>
              <w:rPr>
                <w:b w:val="0"/>
                <w:bCs w:val="0"/>
              </w:rPr>
            </w:pPr>
            <w:r w:rsidRPr="005A5AB9">
              <w:rPr>
                <w:sz w:val="22"/>
                <w:szCs w:val="22"/>
              </w:rPr>
              <w:t>LISTA DE SERVIÇOS</w:t>
            </w:r>
          </w:p>
        </w:tc>
      </w:tr>
      <w:tr w:rsidR="002A619F" w:rsidRPr="005A5AB9" w:rsidTr="00DC0F64">
        <w:trPr>
          <w:cantSplit/>
          <w:jc w:val="right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Subitem</w:t>
            </w:r>
          </w:p>
        </w:tc>
        <w:tc>
          <w:tcPr>
            <w:tcW w:w="4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UFRM ao </w:t>
            </w:r>
            <w:proofErr w:type="gramStart"/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ano Profissionais Autônomos</w:t>
            </w:r>
            <w:proofErr w:type="gramEnd"/>
          </w:p>
        </w:tc>
        <w:tc>
          <w:tcPr>
            <w:tcW w:w="1348" w:type="dxa"/>
            <w:tcBorders>
              <w:top w:val="single" w:sz="4" w:space="0" w:color="auto"/>
            </w:tcBorders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Alíquotas sobre o serviço % ao mês empresas</w:t>
            </w:r>
          </w:p>
        </w:tc>
      </w:tr>
      <w:tr w:rsidR="002A619F" w:rsidRPr="005A5AB9" w:rsidTr="00DC0F64">
        <w:trPr>
          <w:cantSplit/>
          <w:jc w:val="right"/>
        </w:trPr>
        <w:tc>
          <w:tcPr>
            <w:tcW w:w="720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01.</w:t>
            </w:r>
          </w:p>
        </w:tc>
        <w:tc>
          <w:tcPr>
            <w:tcW w:w="1069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09.</w:t>
            </w:r>
          </w:p>
        </w:tc>
        <w:tc>
          <w:tcPr>
            <w:tcW w:w="4331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 xml:space="preserve">Disponibilização, sem cessão definitiva, de conteúdos de áudio, vídeo, imagem e texto por meio da internet, respeitada a imunidade de livros, jornais e periódicos (exceto a distribuição de conteúdos pelas prestadoras de Serviço de Acesso Condicionado, de que trata a </w:t>
            </w:r>
            <w:r w:rsidRPr="005A5AB9">
              <w:rPr>
                <w:rFonts w:ascii="Arial" w:hAnsi="Arial" w:cs="Arial"/>
                <w:sz w:val="22"/>
                <w:szCs w:val="22"/>
                <w:u w:val="single"/>
              </w:rPr>
              <w:t>Lei nº 12.485, de 12 de setembro de 2011,</w:t>
            </w:r>
            <w:r w:rsidRPr="005A5AB9">
              <w:rPr>
                <w:rFonts w:ascii="Arial" w:hAnsi="Arial" w:cs="Arial"/>
                <w:sz w:val="22"/>
                <w:szCs w:val="22"/>
              </w:rPr>
              <w:t xml:space="preserve"> sujeita ao ICMS).</w:t>
            </w:r>
          </w:p>
        </w:tc>
        <w:tc>
          <w:tcPr>
            <w:tcW w:w="1620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r w:rsidRPr="005A5AB9">
              <w:rPr>
                <w:rFonts w:ascii="Arial" w:hAnsi="Arial" w:cs="Arial"/>
                <w:bCs/>
                <w:sz w:val="22"/>
                <w:szCs w:val="22"/>
              </w:rPr>
              <w:t>300</w:t>
            </w:r>
          </w:p>
        </w:tc>
        <w:tc>
          <w:tcPr>
            <w:tcW w:w="1348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proofErr w:type="gramStart"/>
            <w:r w:rsidRPr="005A5AB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proofErr w:type="gramEnd"/>
          </w:p>
        </w:tc>
      </w:tr>
      <w:tr w:rsidR="002A619F" w:rsidRPr="005A5AB9" w:rsidTr="00DC0F64">
        <w:trPr>
          <w:cantSplit/>
          <w:jc w:val="right"/>
        </w:trPr>
        <w:tc>
          <w:tcPr>
            <w:tcW w:w="720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06.</w:t>
            </w:r>
          </w:p>
        </w:tc>
        <w:tc>
          <w:tcPr>
            <w:tcW w:w="1069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06.</w:t>
            </w:r>
          </w:p>
        </w:tc>
        <w:tc>
          <w:tcPr>
            <w:tcW w:w="4331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 xml:space="preserve">Aplicação de tatuagens, </w:t>
            </w:r>
            <w:proofErr w:type="spellStart"/>
            <w:r w:rsidRPr="005A5AB9">
              <w:rPr>
                <w:rFonts w:ascii="Arial" w:hAnsi="Arial" w:cs="Arial"/>
                <w:b/>
                <w:sz w:val="22"/>
                <w:szCs w:val="22"/>
              </w:rPr>
              <w:t>piercings</w:t>
            </w:r>
            <w:proofErr w:type="spellEnd"/>
            <w:r w:rsidRPr="005A5AB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A5AB9">
              <w:rPr>
                <w:rFonts w:ascii="Arial" w:hAnsi="Arial" w:cs="Arial"/>
                <w:sz w:val="22"/>
                <w:szCs w:val="22"/>
              </w:rPr>
              <w:t>e congêneres.</w:t>
            </w:r>
          </w:p>
        </w:tc>
        <w:tc>
          <w:tcPr>
            <w:tcW w:w="1620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r w:rsidRPr="005A5AB9">
              <w:rPr>
                <w:rFonts w:ascii="Arial" w:hAnsi="Arial" w:cs="Arial"/>
                <w:bCs/>
                <w:sz w:val="22"/>
                <w:szCs w:val="22"/>
              </w:rPr>
              <w:t>90</w:t>
            </w:r>
          </w:p>
        </w:tc>
        <w:tc>
          <w:tcPr>
            <w:tcW w:w="1348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proofErr w:type="gramStart"/>
            <w:r w:rsidRPr="005A5AB9">
              <w:rPr>
                <w:rFonts w:ascii="Arial" w:hAnsi="Arial" w:cs="Arial"/>
                <w:bCs/>
                <w:sz w:val="22"/>
                <w:szCs w:val="22"/>
              </w:rPr>
              <w:t>3</w:t>
            </w:r>
            <w:proofErr w:type="gramEnd"/>
          </w:p>
        </w:tc>
      </w:tr>
      <w:tr w:rsidR="002A619F" w:rsidRPr="005A5AB9" w:rsidTr="00DC0F64">
        <w:trPr>
          <w:cantSplit/>
          <w:jc w:val="right"/>
        </w:trPr>
        <w:tc>
          <w:tcPr>
            <w:tcW w:w="720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1069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4331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 xml:space="preserve">Guincho intramunicipal, guindaste e </w:t>
            </w:r>
            <w:proofErr w:type="spellStart"/>
            <w:r w:rsidRPr="005A5AB9">
              <w:rPr>
                <w:rFonts w:ascii="Arial" w:hAnsi="Arial" w:cs="Arial"/>
                <w:sz w:val="22"/>
                <w:szCs w:val="22"/>
              </w:rPr>
              <w:t>içamento</w:t>
            </w:r>
            <w:proofErr w:type="spellEnd"/>
            <w:r w:rsidRPr="005A5AB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20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r w:rsidRPr="005A5AB9"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  <w:tc>
          <w:tcPr>
            <w:tcW w:w="1348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proofErr w:type="gramStart"/>
            <w:r w:rsidRPr="005A5AB9">
              <w:rPr>
                <w:rFonts w:ascii="Arial" w:hAnsi="Arial" w:cs="Arial"/>
                <w:bCs/>
                <w:sz w:val="22"/>
                <w:szCs w:val="22"/>
              </w:rPr>
              <w:t>3</w:t>
            </w:r>
            <w:proofErr w:type="gramEnd"/>
          </w:p>
        </w:tc>
      </w:tr>
      <w:tr w:rsidR="002A619F" w:rsidRPr="005A5AB9" w:rsidTr="00DC0F64">
        <w:trPr>
          <w:cantSplit/>
          <w:jc w:val="right"/>
        </w:trPr>
        <w:tc>
          <w:tcPr>
            <w:tcW w:w="720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16.</w:t>
            </w:r>
          </w:p>
        </w:tc>
        <w:tc>
          <w:tcPr>
            <w:tcW w:w="1069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02.</w:t>
            </w:r>
          </w:p>
        </w:tc>
        <w:tc>
          <w:tcPr>
            <w:tcW w:w="4331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>Outros serviços de transporte de natureza municipal.</w:t>
            </w:r>
          </w:p>
        </w:tc>
        <w:tc>
          <w:tcPr>
            <w:tcW w:w="1620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r w:rsidRPr="005A5AB9">
              <w:rPr>
                <w:rFonts w:ascii="Arial" w:hAnsi="Arial" w:cs="Arial"/>
                <w:bCs/>
                <w:sz w:val="22"/>
                <w:szCs w:val="22"/>
              </w:rPr>
              <w:t>150</w:t>
            </w:r>
          </w:p>
        </w:tc>
        <w:tc>
          <w:tcPr>
            <w:tcW w:w="1348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  <w:bCs/>
              </w:rPr>
            </w:pPr>
            <w:proofErr w:type="gramStart"/>
            <w:r w:rsidRPr="005A5AB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proofErr w:type="gramEnd"/>
          </w:p>
        </w:tc>
      </w:tr>
      <w:tr w:rsidR="002A619F" w:rsidRPr="005A5AB9" w:rsidTr="00DC0F64">
        <w:trPr>
          <w:cantSplit/>
          <w:jc w:val="right"/>
        </w:trPr>
        <w:tc>
          <w:tcPr>
            <w:tcW w:w="720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1069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4331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rPr>
                <w:rFonts w:ascii="Arial" w:hAnsi="Arial" w:cs="Arial"/>
                <w:spacing w:val="-10"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>Inserção de textos, desenhos e outros materiais de propaganda e publicidade, em qualquer meio (exceto em livros, jornais, periódicos e nas modalidades de serviços de radiodifusão sonora e de sons e imagens de recepção livre e gratuita).</w:t>
            </w:r>
          </w:p>
        </w:tc>
        <w:tc>
          <w:tcPr>
            <w:tcW w:w="1620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348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</w:rPr>
            </w:pPr>
            <w:proofErr w:type="gramStart"/>
            <w:r w:rsidRPr="005A5AB9">
              <w:rPr>
                <w:rFonts w:ascii="Arial" w:hAnsi="Arial" w:cs="Arial"/>
                <w:sz w:val="22"/>
                <w:szCs w:val="22"/>
              </w:rPr>
              <w:t>4</w:t>
            </w:r>
            <w:proofErr w:type="gramEnd"/>
          </w:p>
        </w:tc>
      </w:tr>
      <w:tr w:rsidR="002A619F" w:rsidRPr="005A5AB9" w:rsidTr="00DC0F64">
        <w:trPr>
          <w:cantSplit/>
          <w:jc w:val="right"/>
        </w:trPr>
        <w:tc>
          <w:tcPr>
            <w:tcW w:w="720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1069" w:type="dxa"/>
            <w:vAlign w:val="center"/>
          </w:tcPr>
          <w:p w:rsidR="002A619F" w:rsidRPr="005A5AB9" w:rsidRDefault="002A619F" w:rsidP="00DC0F64">
            <w:pPr>
              <w:widowControl w:val="0"/>
              <w:spacing w:after="120" w:line="280" w:lineRule="exact"/>
              <w:jc w:val="center"/>
              <w:rPr>
                <w:rFonts w:ascii="Arial" w:hAnsi="Arial" w:cs="Arial"/>
                <w:b/>
                <w:bCs/>
              </w:rPr>
            </w:pPr>
            <w:r w:rsidRPr="005A5AB9">
              <w:rPr>
                <w:rFonts w:ascii="Arial" w:hAnsi="Arial" w:cs="Arial"/>
                <w:b/>
                <w:bCs/>
                <w:sz w:val="22"/>
                <w:szCs w:val="22"/>
              </w:rPr>
              <w:t>05.</w:t>
            </w:r>
          </w:p>
        </w:tc>
        <w:tc>
          <w:tcPr>
            <w:tcW w:w="4331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rPr>
                <w:rFonts w:ascii="Arial" w:hAnsi="Arial" w:cs="Arial"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>Cessão de uso de espaços em cemitérios para sepultamento.</w:t>
            </w:r>
          </w:p>
        </w:tc>
        <w:tc>
          <w:tcPr>
            <w:tcW w:w="1620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</w:rPr>
            </w:pPr>
            <w:r w:rsidRPr="005A5AB9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348" w:type="dxa"/>
            <w:vAlign w:val="center"/>
          </w:tcPr>
          <w:p w:rsidR="002A619F" w:rsidRPr="005A5AB9" w:rsidRDefault="002A619F" w:rsidP="00DC0F64">
            <w:pPr>
              <w:widowControl w:val="0"/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Arial" w:hAnsi="Arial" w:cs="Arial"/>
              </w:rPr>
            </w:pPr>
            <w:proofErr w:type="gramStart"/>
            <w:r w:rsidRPr="005A5AB9">
              <w:rPr>
                <w:rFonts w:ascii="Arial" w:hAnsi="Arial" w:cs="Arial"/>
                <w:sz w:val="22"/>
                <w:szCs w:val="22"/>
              </w:rPr>
              <w:t>4</w:t>
            </w:r>
            <w:proofErr w:type="gramEnd"/>
          </w:p>
        </w:tc>
      </w:tr>
    </w:tbl>
    <w:p w:rsidR="002A619F" w:rsidRPr="005A5AB9" w:rsidRDefault="002A619F" w:rsidP="002A619F">
      <w:pPr>
        <w:pStyle w:val="Artigo"/>
        <w:widowControl w:val="0"/>
        <w:spacing w:before="0"/>
        <w:ind w:firstLine="0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pStyle w:val="Recuodecorpodetexto"/>
        <w:ind w:left="0"/>
        <w:rPr>
          <w:rFonts w:ascii="Arial" w:hAnsi="Arial" w:cs="Arial"/>
          <w:b/>
          <w:bCs/>
          <w:sz w:val="22"/>
          <w:szCs w:val="22"/>
        </w:rPr>
      </w:pPr>
    </w:p>
    <w:p w:rsidR="002A619F" w:rsidRPr="005A5AB9" w:rsidRDefault="002A619F" w:rsidP="002A619F">
      <w:pPr>
        <w:pStyle w:val="Recuodecorpodetexto"/>
        <w:ind w:left="0"/>
        <w:rPr>
          <w:rFonts w:ascii="Arial" w:hAnsi="Arial" w:cs="Arial"/>
          <w:b/>
          <w:bCs/>
          <w:sz w:val="22"/>
          <w:szCs w:val="22"/>
        </w:rPr>
      </w:pPr>
    </w:p>
    <w:p w:rsidR="002A619F" w:rsidRPr="005A5AB9" w:rsidRDefault="002A619F" w:rsidP="002A619F">
      <w:pPr>
        <w:pStyle w:val="Recuodecorpodetexto"/>
        <w:ind w:left="0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bCs/>
          <w:sz w:val="22"/>
          <w:szCs w:val="22"/>
        </w:rPr>
        <w:t>Art. 9º</w:t>
      </w:r>
      <w:r w:rsidRPr="005A5AB9">
        <w:rPr>
          <w:rFonts w:ascii="Arial" w:hAnsi="Arial" w:cs="Arial"/>
          <w:sz w:val="22"/>
          <w:szCs w:val="22"/>
        </w:rPr>
        <w:t xml:space="preserve"> Os demais artigos da Lei Complementar nº 1.603/2002 permanecem inalterados.</w:t>
      </w:r>
    </w:p>
    <w:p w:rsidR="002A619F" w:rsidRPr="005A5AB9" w:rsidRDefault="002A619F" w:rsidP="002A619F">
      <w:pPr>
        <w:pStyle w:val="artigo0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bCs/>
          <w:sz w:val="22"/>
          <w:szCs w:val="22"/>
        </w:rPr>
        <w:t>Art. 10.</w:t>
      </w:r>
      <w:r w:rsidRPr="005A5AB9">
        <w:rPr>
          <w:rFonts w:ascii="Arial" w:hAnsi="Arial" w:cs="Arial"/>
          <w:sz w:val="22"/>
          <w:szCs w:val="22"/>
        </w:rPr>
        <w:t xml:space="preserve"> Esta Lei entrará em vigor:</w:t>
      </w:r>
    </w:p>
    <w:p w:rsidR="002A619F" w:rsidRPr="005A5AB9" w:rsidRDefault="002A619F" w:rsidP="002A619F">
      <w:pPr>
        <w:spacing w:before="100" w:beforeAutospacing="1" w:after="100" w:afterAutospacing="1"/>
        <w:ind w:firstLine="525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sz w:val="22"/>
          <w:szCs w:val="22"/>
        </w:rPr>
        <w:t xml:space="preserve">I - na data de sua publicação, em relação aos artigos 1º, 2º, 3º e 6º, </w:t>
      </w:r>
      <w:proofErr w:type="gramStart"/>
      <w:r w:rsidRPr="005A5AB9">
        <w:rPr>
          <w:rFonts w:ascii="Arial" w:hAnsi="Arial" w:cs="Arial"/>
          <w:sz w:val="22"/>
          <w:szCs w:val="22"/>
        </w:rPr>
        <w:t>e</w:t>
      </w:r>
      <w:proofErr w:type="gramEnd"/>
    </w:p>
    <w:p w:rsidR="002A619F" w:rsidRPr="005A5AB9" w:rsidRDefault="002A619F" w:rsidP="002A619F">
      <w:pPr>
        <w:spacing w:before="100" w:beforeAutospacing="1" w:after="100" w:afterAutospacing="1"/>
        <w:ind w:firstLine="525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sz w:val="22"/>
          <w:szCs w:val="22"/>
        </w:rPr>
        <w:lastRenderedPageBreak/>
        <w:t>II – a partir de 1º de janeiro de 2018, em relação aos demais artigos.</w:t>
      </w:r>
    </w:p>
    <w:p w:rsidR="002A619F" w:rsidRPr="005A5AB9" w:rsidRDefault="002A619F" w:rsidP="002A619F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b/>
          <w:bCs/>
          <w:sz w:val="22"/>
          <w:szCs w:val="22"/>
        </w:rPr>
        <w:t>Art. 11.</w:t>
      </w:r>
      <w:r w:rsidRPr="005A5AB9">
        <w:rPr>
          <w:rFonts w:ascii="Arial" w:hAnsi="Arial" w:cs="Arial"/>
          <w:sz w:val="22"/>
          <w:szCs w:val="22"/>
        </w:rPr>
        <w:t xml:space="preserve"> Ficam revogadas as disposições em contrário.</w:t>
      </w:r>
    </w:p>
    <w:p w:rsidR="002A619F" w:rsidRPr="005A5AB9" w:rsidRDefault="002A619F" w:rsidP="002A619F">
      <w:pPr>
        <w:ind w:firstLine="708"/>
        <w:jc w:val="center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 xml:space="preserve">GABINETE DO PREFEITO MUNICIPAL DE GUARUJÁ DO SUL - SC, </w:t>
      </w:r>
      <w:proofErr w:type="gramStart"/>
      <w:r w:rsidRPr="005A5AB9">
        <w:rPr>
          <w:rFonts w:ascii="Arial" w:hAnsi="Arial" w:cs="Arial"/>
          <w:b/>
          <w:sz w:val="22"/>
          <w:szCs w:val="22"/>
        </w:rPr>
        <w:t>em</w:t>
      </w:r>
      <w:proofErr w:type="gramEnd"/>
      <w:r w:rsidRPr="005A5AB9">
        <w:rPr>
          <w:rFonts w:ascii="Arial" w:hAnsi="Arial" w:cs="Arial"/>
          <w:b/>
          <w:sz w:val="22"/>
          <w:szCs w:val="22"/>
        </w:rPr>
        <w:t xml:space="preserve"> 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</w:t>
      </w:r>
      <w:r w:rsidRPr="005A5AB9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Agosto</w:t>
      </w:r>
      <w:r w:rsidRPr="005A5AB9">
        <w:rPr>
          <w:rFonts w:ascii="Arial" w:hAnsi="Arial" w:cs="Arial"/>
          <w:sz w:val="22"/>
          <w:szCs w:val="22"/>
        </w:rPr>
        <w:t xml:space="preserve"> de 2017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sz w:val="22"/>
          <w:szCs w:val="22"/>
        </w:rPr>
        <w:t>66º ano da Fundação e 55º ano da Instalação.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center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Claudio Júnior Weschenfelder</w:t>
      </w:r>
    </w:p>
    <w:p w:rsidR="002A619F" w:rsidRPr="005A5AB9" w:rsidRDefault="002A619F" w:rsidP="002A619F">
      <w:pPr>
        <w:jc w:val="center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Prefeito Municipal.</w:t>
      </w:r>
    </w:p>
    <w:p w:rsidR="002A619F" w:rsidRPr="005A5AB9" w:rsidRDefault="002A619F" w:rsidP="002A619F">
      <w:pPr>
        <w:pStyle w:val="Ttulo1"/>
        <w:ind w:firstLine="0"/>
        <w:jc w:val="left"/>
        <w:rPr>
          <w:b w:val="0"/>
          <w:bCs w:val="0"/>
          <w:sz w:val="22"/>
          <w:szCs w:val="22"/>
        </w:rPr>
      </w:pPr>
    </w:p>
    <w:p w:rsidR="002A619F" w:rsidRPr="005A5AB9" w:rsidRDefault="002A619F" w:rsidP="002A619F">
      <w:pPr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  <w:r w:rsidRPr="005A5AB9">
        <w:rPr>
          <w:rFonts w:ascii="Arial" w:hAnsi="Arial" w:cs="Arial"/>
          <w:sz w:val="22"/>
          <w:szCs w:val="22"/>
        </w:rPr>
        <w:t>Certifico que a Presente Lei foi publicada e registrada nesta Secretaria em data supra.</w:t>
      </w:r>
    </w:p>
    <w:p w:rsidR="002A619F" w:rsidRPr="005A5AB9" w:rsidRDefault="002A619F" w:rsidP="002A619F">
      <w:pPr>
        <w:jc w:val="both"/>
        <w:rPr>
          <w:rFonts w:ascii="Arial" w:hAnsi="Arial" w:cs="Arial"/>
          <w:sz w:val="22"/>
          <w:szCs w:val="22"/>
        </w:rPr>
      </w:pPr>
    </w:p>
    <w:p w:rsidR="002A619F" w:rsidRDefault="002A619F" w:rsidP="002A619F">
      <w:pPr>
        <w:jc w:val="center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center"/>
        <w:rPr>
          <w:rFonts w:ascii="Arial" w:hAnsi="Arial" w:cs="Arial"/>
          <w:sz w:val="22"/>
          <w:szCs w:val="22"/>
        </w:rPr>
      </w:pPr>
    </w:p>
    <w:p w:rsidR="002A619F" w:rsidRPr="005A5AB9" w:rsidRDefault="002A619F" w:rsidP="002A619F">
      <w:pPr>
        <w:jc w:val="center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Julio Cesar Della Flora</w:t>
      </w:r>
    </w:p>
    <w:p w:rsidR="002A619F" w:rsidRDefault="002A619F" w:rsidP="002A619F">
      <w:pPr>
        <w:jc w:val="center"/>
        <w:rPr>
          <w:rFonts w:ascii="Arial" w:hAnsi="Arial" w:cs="Arial"/>
          <w:b/>
          <w:sz w:val="22"/>
          <w:szCs w:val="22"/>
        </w:rPr>
      </w:pPr>
      <w:r w:rsidRPr="005A5AB9">
        <w:rPr>
          <w:rFonts w:ascii="Arial" w:hAnsi="Arial" w:cs="Arial"/>
          <w:b/>
          <w:sz w:val="22"/>
          <w:szCs w:val="22"/>
        </w:rPr>
        <w:t>Secretario da Administração e Fazenda</w:t>
      </w:r>
    </w:p>
    <w:p w:rsidR="005F4694" w:rsidRDefault="005F4694">
      <w:bookmarkStart w:id="0" w:name="_GoBack"/>
      <w:bookmarkEnd w:id="0"/>
    </w:p>
    <w:sectPr w:rsidR="005F4694" w:rsidSect="002747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85A0A"/>
    <w:multiLevelType w:val="hybridMultilevel"/>
    <w:tmpl w:val="C850439C"/>
    <w:lvl w:ilvl="0" w:tplc="8E247E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619F"/>
    <w:rsid w:val="00274735"/>
    <w:rsid w:val="002A619F"/>
    <w:rsid w:val="005F4694"/>
    <w:rsid w:val="00616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19F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A619F"/>
    <w:pPr>
      <w:keepNext/>
      <w:ind w:firstLine="708"/>
      <w:jc w:val="center"/>
      <w:outlineLvl w:val="0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2A619F"/>
    <w:pPr>
      <w:keepNext/>
      <w:outlineLvl w:val="2"/>
    </w:pPr>
    <w:rPr>
      <w:rFonts w:ascii="Times New Roman" w:hAnsi="Times New Roman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619F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A619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A619F"/>
    <w:pPr>
      <w:ind w:left="3420"/>
      <w:jc w:val="both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2A619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2A619F"/>
    <w:pPr>
      <w:jc w:val="both"/>
    </w:pPr>
    <w:rPr>
      <w:rFonts w:ascii="Times New Roman" w:hAnsi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rsid w:val="002A61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Artigo">
    <w:name w:val="Artigo"/>
    <w:basedOn w:val="Normal"/>
    <w:rsid w:val="002A619F"/>
    <w:pPr>
      <w:spacing w:before="120"/>
      <w:ind w:firstLine="1134"/>
      <w:jc w:val="both"/>
    </w:pPr>
    <w:rPr>
      <w:rFonts w:ascii="Times New Roman" w:hAnsi="Times New Roman"/>
      <w:b/>
      <w:sz w:val="26"/>
    </w:rPr>
  </w:style>
  <w:style w:type="character" w:styleId="nfase">
    <w:name w:val="Emphasis"/>
    <w:basedOn w:val="Fontepargpadro"/>
    <w:uiPriority w:val="20"/>
    <w:qFormat/>
    <w:rsid w:val="002A619F"/>
    <w:rPr>
      <w:i/>
      <w:iCs/>
    </w:rPr>
  </w:style>
  <w:style w:type="paragraph" w:customStyle="1" w:styleId="artigo0">
    <w:name w:val="artigo"/>
    <w:basedOn w:val="Normal"/>
    <w:rsid w:val="002A619F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19F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A619F"/>
    <w:pPr>
      <w:keepNext/>
      <w:ind w:firstLine="708"/>
      <w:jc w:val="center"/>
      <w:outlineLvl w:val="0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2A619F"/>
    <w:pPr>
      <w:keepNext/>
      <w:outlineLvl w:val="2"/>
    </w:pPr>
    <w:rPr>
      <w:rFonts w:ascii="Times New Roman" w:hAnsi="Times New Roman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619F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A619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A619F"/>
    <w:pPr>
      <w:ind w:left="3420"/>
      <w:jc w:val="both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2A619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2A619F"/>
    <w:pPr>
      <w:jc w:val="both"/>
    </w:pPr>
    <w:rPr>
      <w:rFonts w:ascii="Times New Roman" w:hAnsi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rsid w:val="002A61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Artigo">
    <w:name w:val="Artigo"/>
    <w:basedOn w:val="Normal"/>
    <w:rsid w:val="002A619F"/>
    <w:pPr>
      <w:spacing w:before="120"/>
      <w:ind w:firstLine="1134"/>
      <w:jc w:val="both"/>
    </w:pPr>
    <w:rPr>
      <w:rFonts w:ascii="Times New Roman" w:hAnsi="Times New Roman"/>
      <w:b/>
      <w:sz w:val="26"/>
    </w:rPr>
  </w:style>
  <w:style w:type="character" w:styleId="nfase">
    <w:name w:val="Emphasis"/>
    <w:basedOn w:val="Fontepargpadro"/>
    <w:uiPriority w:val="20"/>
    <w:qFormat/>
    <w:rsid w:val="002A619F"/>
    <w:rPr>
      <w:i/>
      <w:iCs/>
    </w:rPr>
  </w:style>
  <w:style w:type="paragraph" w:customStyle="1" w:styleId="artigo0">
    <w:name w:val="artigo"/>
    <w:basedOn w:val="Normal"/>
    <w:rsid w:val="002A619F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1834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w</cp:lastModifiedBy>
  <cp:revision>2</cp:revision>
  <dcterms:created xsi:type="dcterms:W3CDTF">2017-10-18T14:40:00Z</dcterms:created>
  <dcterms:modified xsi:type="dcterms:W3CDTF">2017-10-18T14:40:00Z</dcterms:modified>
</cp:coreProperties>
</file>