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Estância Velha</w:t>
      </w:r>
      <w:r w:rsidR="0059308E">
        <w:rPr>
          <w:rFonts w:ascii="Arial" w:hAnsi="Arial" w:cs="Arial"/>
        </w:rPr>
        <w:t xml:space="preserve"> -</w:t>
      </w:r>
      <w:r w:rsidRPr="00036ACF">
        <w:rPr>
          <w:rFonts w:ascii="Arial" w:hAnsi="Arial" w:cs="Arial"/>
        </w:rPr>
        <w:t xml:space="preserve"> RS, </w:t>
      </w:r>
      <w:r w:rsidR="002F6A2D">
        <w:rPr>
          <w:rFonts w:ascii="Arial" w:hAnsi="Arial" w:cs="Arial"/>
        </w:rPr>
        <w:t>23</w:t>
      </w:r>
      <w:r w:rsidRPr="00036ACF">
        <w:rPr>
          <w:rFonts w:ascii="Arial" w:hAnsi="Arial" w:cs="Arial"/>
        </w:rPr>
        <w:t xml:space="preserve"> de </w:t>
      </w:r>
      <w:r w:rsidR="00DD54B3">
        <w:rPr>
          <w:rFonts w:ascii="Arial" w:hAnsi="Arial" w:cs="Arial"/>
        </w:rPr>
        <w:t>novembro</w:t>
      </w:r>
      <w:r w:rsidRPr="00036ACF">
        <w:rPr>
          <w:rFonts w:ascii="Arial" w:hAnsi="Arial" w:cs="Arial"/>
        </w:rPr>
        <w:t xml:space="preserve"> </w:t>
      </w:r>
      <w:r w:rsidR="00ED59A4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59308E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B020C0" w:rsidRPr="00657051" w:rsidRDefault="00FC19C7" w:rsidP="00657051">
      <w:pPr>
        <w:spacing w:line="360" w:lineRule="auto"/>
        <w:ind w:firstLine="1701"/>
        <w:jc w:val="both"/>
        <w:rPr>
          <w:rFonts w:ascii="Arial" w:hAnsi="Arial" w:cs="Arial"/>
          <w:b/>
          <w:bCs/>
          <w:lang w:bidi="pt-BR"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B020C0">
        <w:rPr>
          <w:rFonts w:ascii="Arial" w:hAnsi="Arial" w:cs="Arial"/>
        </w:rPr>
        <w:t>“</w:t>
      </w:r>
      <w:r w:rsidR="00657051" w:rsidRPr="00657051">
        <w:rPr>
          <w:rFonts w:ascii="Arial" w:hAnsi="Arial" w:cs="Arial"/>
          <w:b/>
          <w:bCs/>
          <w:lang w:bidi="pt-BR"/>
        </w:rPr>
        <w:t>DISPÕE SOBRE O NIVELAMENTO DOS TAMPÕES, CAIXAS DE INSPEÇÃO, BOCAS DE LOBO E BUEIROS PARA A EXECUÇ</w:t>
      </w:r>
      <w:r w:rsidR="00657051">
        <w:rPr>
          <w:rFonts w:ascii="Arial" w:hAnsi="Arial" w:cs="Arial"/>
          <w:b/>
          <w:bCs/>
          <w:lang w:bidi="pt-BR"/>
        </w:rPr>
        <w:t xml:space="preserve">ÃO DE SERVIÇOS DE PAVIMENTAÇÃO, </w:t>
      </w:r>
      <w:r w:rsidR="00657051" w:rsidRPr="00657051">
        <w:rPr>
          <w:rFonts w:ascii="Arial" w:hAnsi="Arial" w:cs="Arial"/>
          <w:b/>
          <w:bCs/>
          <w:lang w:bidi="pt-BR"/>
        </w:rPr>
        <w:t>RECAPEAMENTO, RECONSTRUÇÃO OU QUALQUER SERVIÇO DE MANUTENÇÃO DAS CALÇADAS E VIAS PÚ</w:t>
      </w:r>
      <w:r w:rsidR="00657051">
        <w:rPr>
          <w:rFonts w:ascii="Arial" w:hAnsi="Arial" w:cs="Arial"/>
          <w:b/>
          <w:bCs/>
          <w:lang w:bidi="pt-BR"/>
        </w:rPr>
        <w:t>BLICAS E DÁ OUTRAS PROVIDÊNCIAS</w:t>
      </w:r>
      <w:r w:rsidR="00960D17">
        <w:rPr>
          <w:rFonts w:ascii="Arial" w:hAnsi="Arial" w:cs="Arial"/>
          <w:b/>
          <w:bCs/>
          <w:lang w:bidi="pt-BR"/>
        </w:rPr>
        <w:t>.”</w:t>
      </w:r>
    </w:p>
    <w:p w:rsidR="00435400" w:rsidRPr="00435400" w:rsidRDefault="00435400" w:rsidP="00435400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>O Presente Projeto de Lei</w:t>
      </w:r>
      <w:r w:rsidRPr="00435400">
        <w:rPr>
          <w:rFonts w:ascii="Arial" w:hAnsi="Arial" w:cs="Arial"/>
          <w:lang w:bidi="pt-BR"/>
        </w:rPr>
        <w:t xml:space="preserve"> visa resguardar os direitos dos cidadãos à acessibilidade, bem como facilitar o acesso das pessoas aos logradouros públicos, em especial, o uso desses locais pelas pessoas portadoras de deficiência, em consonância com o art. 4.º</w:t>
      </w:r>
      <w:r>
        <w:rPr>
          <w:rFonts w:ascii="Arial" w:hAnsi="Arial" w:cs="Arial"/>
          <w:lang w:bidi="pt-BR"/>
        </w:rPr>
        <w:t xml:space="preserve"> da Lei Federal n.º 10.048/2000, bem como tornar as vias um local mais seguro para os que ali circulam com seus </w:t>
      </w:r>
      <w:proofErr w:type="gramStart"/>
      <w:r>
        <w:rPr>
          <w:rFonts w:ascii="Arial" w:hAnsi="Arial" w:cs="Arial"/>
          <w:lang w:bidi="pt-BR"/>
        </w:rPr>
        <w:t>meios</w:t>
      </w:r>
      <w:proofErr w:type="gramEnd"/>
      <w:r>
        <w:rPr>
          <w:rFonts w:ascii="Arial" w:hAnsi="Arial" w:cs="Arial"/>
          <w:lang w:bidi="pt-BR"/>
        </w:rPr>
        <w:t xml:space="preserve"> de locomoção.</w:t>
      </w:r>
    </w:p>
    <w:p w:rsidR="00435400" w:rsidRPr="00435400" w:rsidRDefault="00435400" w:rsidP="00435400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>Nesse sentido</w:t>
      </w:r>
      <w:r w:rsidRPr="00435400">
        <w:rPr>
          <w:rFonts w:ascii="Arial" w:hAnsi="Arial" w:cs="Arial"/>
          <w:lang w:bidi="pt-BR"/>
        </w:rPr>
        <w:t>, a Lei Federal n.º 10.098/2000, estabelece normas gerais e critérios básicos para a promoção da acessibilidade das pessoas portadoras de deficiência ou com mobilidade reduzida, mediante a supressão de barreiras e de obstáculos nas vias e espaços públicos, no mobiliário urbano, na construção e reforma de edifícios e nos meios de transporte e de comunicação. O mesmo diploma legal, em seu art. 4.º, diz que “</w:t>
      </w:r>
      <w:r w:rsidRPr="00435400">
        <w:rPr>
          <w:rFonts w:ascii="Arial" w:hAnsi="Arial" w:cs="Arial"/>
          <w:i/>
          <w:lang w:bidi="pt-BR"/>
        </w:rPr>
        <w:t>As vias públicas, os parques e os demais espaços de uso público existentes, assim como as respectivas instalações de serviços e mobiliários urbanos deverão ser adaptados, obedecendo-se ordem de prioridade que vise à maior eficiência das modificações, no sentido de promover mais ampla acessibilidade às pessoas portadoras de deficiência ou com mobilidade reduzida.</w:t>
      </w:r>
      <w:r w:rsidRPr="00435400">
        <w:rPr>
          <w:rFonts w:ascii="Arial" w:hAnsi="Arial" w:cs="Arial"/>
          <w:lang w:bidi="pt-BR"/>
        </w:rPr>
        <w:t>”</w:t>
      </w:r>
    </w:p>
    <w:p w:rsidR="00435400" w:rsidRPr="00435400" w:rsidRDefault="00435400" w:rsidP="00435400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435400">
        <w:rPr>
          <w:rFonts w:ascii="Arial" w:hAnsi="Arial" w:cs="Arial"/>
          <w:lang w:bidi="pt-BR"/>
        </w:rPr>
        <w:lastRenderedPageBreak/>
        <w:t>Assim, esta propositura visa nivelar os pisos das vias e calçadas, para evitar que os cidadãos, e em especial os idosos e as pessoas portadoras de deficiência ou com mobilidade reduzida, venham sofrer quedas e contusões nas calçadas e nas vias públicas do Município.</w:t>
      </w:r>
    </w:p>
    <w:p w:rsidR="00435400" w:rsidRPr="00435400" w:rsidRDefault="00435400" w:rsidP="00435400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435400">
        <w:rPr>
          <w:rFonts w:ascii="Arial" w:hAnsi="Arial" w:cs="Arial"/>
          <w:lang w:bidi="pt-BR"/>
        </w:rPr>
        <w:t>Além da dificuldade de locomoção das pessoas com necessidades especiais, os tampões, caixas de inspeção, bueiros e bocas de lobo desnivelados também prejudicam a mobilidade e segurança viária, pois os</w:t>
      </w:r>
      <w:r>
        <w:rPr>
          <w:rFonts w:ascii="Arial" w:hAnsi="Arial" w:cs="Arial"/>
          <w:lang w:bidi="pt-BR"/>
        </w:rPr>
        <w:t xml:space="preserve"> motoristas,</w:t>
      </w:r>
      <w:r w:rsidRPr="00435400">
        <w:rPr>
          <w:rFonts w:ascii="Arial" w:hAnsi="Arial" w:cs="Arial"/>
          <w:lang w:bidi="pt-BR"/>
        </w:rPr>
        <w:t xml:space="preserve"> ciclistas e motociclistas sentem o impacto ao passar por ruas com piso irregular, podendo inclusive resultar em queda, assim como os demais veículos que tem alinhamento e rodas danificadas.</w:t>
      </w:r>
    </w:p>
    <w:p w:rsidR="00435400" w:rsidRDefault="00435400" w:rsidP="00435400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435400">
        <w:rPr>
          <w:rFonts w:ascii="Arial" w:hAnsi="Arial" w:cs="Arial"/>
          <w:lang w:bidi="pt-BR"/>
        </w:rPr>
        <w:t>Os desníveis dos pisos estão prejudicando a acessibilidade, criando barreiras e obstáculos que limitam e impedem o acesso a liberdade de movimento e circulação com segurança da população, principalmente das pessoas portadoras de necessidades especiais e idosos.</w:t>
      </w:r>
    </w:p>
    <w:p w:rsidR="00435400" w:rsidRDefault="00435400" w:rsidP="00435400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>Quanto ao aspecto que reveste sua constitucionalidade, e</w:t>
      </w:r>
      <w:r w:rsidRPr="00435400">
        <w:rPr>
          <w:rFonts w:ascii="Arial" w:hAnsi="Arial" w:cs="Arial"/>
          <w:lang w:bidi="pt-BR"/>
        </w:rPr>
        <w:t>stabelece a Constituição da</w:t>
      </w:r>
      <w:r>
        <w:rPr>
          <w:rFonts w:ascii="Arial" w:hAnsi="Arial" w:cs="Arial"/>
          <w:lang w:bidi="pt-BR"/>
        </w:rPr>
        <w:t xml:space="preserve"> República Federativa do Brasil</w:t>
      </w:r>
      <w:r w:rsidR="00657051">
        <w:rPr>
          <w:rFonts w:ascii="Arial" w:hAnsi="Arial" w:cs="Arial"/>
          <w:lang w:bidi="pt-BR"/>
        </w:rPr>
        <w:t>,</w:t>
      </w:r>
      <w:r>
        <w:rPr>
          <w:rFonts w:ascii="Arial" w:hAnsi="Arial" w:cs="Arial"/>
          <w:lang w:bidi="pt-BR"/>
        </w:rPr>
        <w:t xml:space="preserve"> em seu art. 30</w:t>
      </w:r>
      <w:r w:rsidR="00657051">
        <w:rPr>
          <w:rFonts w:ascii="Arial" w:hAnsi="Arial" w:cs="Arial"/>
          <w:lang w:bidi="pt-BR"/>
        </w:rPr>
        <w:t>,</w:t>
      </w:r>
      <w:r>
        <w:rPr>
          <w:rFonts w:ascii="Arial" w:hAnsi="Arial" w:cs="Arial"/>
          <w:lang w:bidi="pt-BR"/>
        </w:rPr>
        <w:t xml:space="preserve"> que Compete aos Municípios </w:t>
      </w:r>
      <w:r w:rsidRPr="00435400">
        <w:rPr>
          <w:rFonts w:ascii="Arial" w:hAnsi="Arial" w:cs="Arial"/>
          <w:lang w:bidi="pt-BR"/>
        </w:rPr>
        <w:t>legislar</w:t>
      </w:r>
      <w:r>
        <w:rPr>
          <w:rFonts w:ascii="Arial" w:hAnsi="Arial" w:cs="Arial"/>
          <w:lang w:bidi="pt-BR"/>
        </w:rPr>
        <w:t>em</w:t>
      </w:r>
      <w:r w:rsidRPr="00435400">
        <w:rPr>
          <w:rFonts w:ascii="Arial" w:hAnsi="Arial" w:cs="Arial"/>
          <w:lang w:bidi="pt-BR"/>
        </w:rPr>
        <w:t xml:space="preserve"> sobre assuntos de interesse local</w:t>
      </w:r>
      <w:r>
        <w:rPr>
          <w:rFonts w:ascii="Arial" w:hAnsi="Arial" w:cs="Arial"/>
          <w:lang w:bidi="pt-BR"/>
        </w:rPr>
        <w:t>.</w:t>
      </w:r>
    </w:p>
    <w:p w:rsidR="00435400" w:rsidRDefault="00435400" w:rsidP="00435400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435400">
        <w:rPr>
          <w:rFonts w:ascii="Arial" w:hAnsi="Arial" w:cs="Arial"/>
          <w:lang w:bidi="pt-BR"/>
        </w:rPr>
        <w:t>Nos termos da Constituição do Estado do Rio Grande do Sul</w:t>
      </w:r>
      <w:r w:rsidR="00657051">
        <w:rPr>
          <w:rFonts w:ascii="Arial" w:hAnsi="Arial" w:cs="Arial"/>
          <w:lang w:bidi="pt-BR"/>
        </w:rPr>
        <w:t xml:space="preserve"> (Art. 60)</w:t>
      </w:r>
      <w:r w:rsidRPr="00435400">
        <w:rPr>
          <w:rFonts w:ascii="Arial" w:hAnsi="Arial" w:cs="Arial"/>
          <w:lang w:bidi="pt-BR"/>
        </w:rPr>
        <w:t>, verificamos que o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regime jurídico da prestação de serviços públicos não consiste em matéria de inciativa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reservada do Governador do Estado (e, por conseguinte, do Prefeito do Município). Não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podemos ignorar que a reserva de competência de iniciativa do processo legislativo, por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constituir hipótese excetiva e mitigadora da competência constitucional do Poder Legislativo,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deve ser interpretada de forma restritiva. Esse é o entendimento do Supremo Tribunal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Federal:</w:t>
      </w:r>
    </w:p>
    <w:p w:rsidR="00435400" w:rsidRPr="00435400" w:rsidRDefault="00435400" w:rsidP="00435400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435400">
        <w:rPr>
          <w:rFonts w:ascii="Arial" w:hAnsi="Arial" w:cs="Arial"/>
          <w:lang w:bidi="pt-BR"/>
        </w:rPr>
        <w:lastRenderedPageBreak/>
        <w:t>ADI – LEI Nº 7.999/85, DO ESTADO DO RIO GRANDE DO SUL, COM AREDAÇÃO QUE LHE DEU A LEI Nº 9.535/92 – BENEFÍCIO TRIBUTÁRIO –MATÉRIA DE INICIATIVA COMUM OU CONCORRENTE – REPERCUSSÃO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NO ORÇAMENTO ESTADUAL – ALEGADA USURPAÇÃO DA CLÁUSULA DE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INICIATIVA RESERVADA AO CHEFE DO PODER EXECUTIVO – AUSÊNCIA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DE PLAUSIBILIDADE JURÍDICA – MEDIDA CAUTELAR INDEFERIDA.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[...]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– A iniciativa reservada, por constituir matéria de direito estrito, não se presume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e nem comporta interpretação ampliativa, na medida em que – por implicar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limitação ao poder de instauração do processo legislativo – deve necessariamente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derivar de norma constitucional explícita e inequívoca</w:t>
      </w:r>
      <w:r>
        <w:rPr>
          <w:rStyle w:val="Refdenotaderodap"/>
          <w:rFonts w:ascii="Arial" w:hAnsi="Arial" w:cs="Arial"/>
          <w:lang w:bidi="pt-BR"/>
        </w:rPr>
        <w:footnoteReference w:id="1"/>
      </w:r>
      <w:r w:rsidRPr="00435400">
        <w:rPr>
          <w:rFonts w:ascii="Arial" w:hAnsi="Arial" w:cs="Arial"/>
          <w:lang w:bidi="pt-BR"/>
        </w:rPr>
        <w:t>.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[...]</w:t>
      </w:r>
    </w:p>
    <w:p w:rsidR="00435400" w:rsidRPr="00435400" w:rsidRDefault="00435400" w:rsidP="00435400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435400">
        <w:rPr>
          <w:rFonts w:ascii="Arial" w:hAnsi="Arial" w:cs="Arial"/>
          <w:lang w:bidi="pt-BR"/>
        </w:rPr>
        <w:t>Quanto ao mérito, também é firme o entendimento do Supremo Tribunal Federal sobre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a constitucionalidade da iniciativa parlamentar de leis que disciplinem a prestação do serviço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 xml:space="preserve">público, desde que não disponham sobre a </w:t>
      </w:r>
      <w:r>
        <w:rPr>
          <w:rFonts w:ascii="Arial" w:hAnsi="Arial" w:cs="Arial"/>
          <w:lang w:bidi="pt-BR"/>
        </w:rPr>
        <w:t>estrutura</w:t>
      </w:r>
      <w:r w:rsidRPr="00435400">
        <w:rPr>
          <w:rFonts w:ascii="Arial" w:hAnsi="Arial" w:cs="Arial"/>
          <w:lang w:bidi="pt-BR"/>
        </w:rPr>
        <w:t xml:space="preserve"> jurídica da administração direta e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indireta. Vejamos:</w:t>
      </w:r>
    </w:p>
    <w:p w:rsidR="00435400" w:rsidRDefault="00435400" w:rsidP="00435400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  <w:lang w:bidi="pt-BR"/>
        </w:rPr>
      </w:pPr>
      <w:r w:rsidRPr="00435400">
        <w:rPr>
          <w:rFonts w:ascii="Arial" w:hAnsi="Arial" w:cs="Arial"/>
          <w:lang w:bidi="pt-BR"/>
        </w:rPr>
        <w:t>Ação direta de inconstitucionalidade. Lei nº 11.521/2000 do Estado do Rio Grande do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Sul. Obrigação do Governo de divulgar na imprensa oficial e na internet dados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relativos a contratos de obras públicas. Ausência de vício formal e material. Princípio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da publicidade e da transparência. Fiscalização. Constitucionalidade. [...] 2. Lei que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>obriga o Poder Executivo a divulgar na imprensa oficial e na internet dados relativos a</w:t>
      </w:r>
      <w:r>
        <w:rPr>
          <w:rFonts w:ascii="Arial" w:hAnsi="Arial" w:cs="Arial"/>
          <w:lang w:bidi="pt-BR"/>
        </w:rPr>
        <w:t xml:space="preserve"> </w:t>
      </w:r>
      <w:r w:rsidRPr="00435400">
        <w:rPr>
          <w:rFonts w:ascii="Arial" w:hAnsi="Arial" w:cs="Arial"/>
          <w:lang w:bidi="pt-BR"/>
        </w:rPr>
        <w:t xml:space="preserve">contratos de obras públicas não depende de iniciativa do chefe do Poder Executivo. </w:t>
      </w:r>
      <w:r w:rsidRPr="00435400">
        <w:rPr>
          <w:rFonts w:ascii="Arial" w:hAnsi="Arial" w:cs="Arial"/>
          <w:b/>
          <w:lang w:bidi="pt-BR"/>
        </w:rPr>
        <w:t xml:space="preserve">A lei em questão não cria, extingue ou modifica órgão administrativo, tampouco confere nova atribuição a órgão da administração pública. O fato de a regra estar dirigida ao Poder Executivo, por si só, não implica que ela deva ser de iniciativa </w:t>
      </w:r>
      <w:r w:rsidRPr="00435400">
        <w:rPr>
          <w:rFonts w:ascii="Arial" w:hAnsi="Arial" w:cs="Arial"/>
          <w:b/>
          <w:lang w:bidi="pt-BR"/>
        </w:rPr>
        <w:lastRenderedPageBreak/>
        <w:t>privativa do Governador do Estado. Não incide, no caso, a vedação constitucional (CF, art. 61, § 1º, II, e)</w:t>
      </w:r>
      <w:r>
        <w:rPr>
          <w:rStyle w:val="Refdenotaderodap"/>
          <w:rFonts w:ascii="Arial" w:hAnsi="Arial" w:cs="Arial"/>
          <w:b/>
          <w:lang w:bidi="pt-BR"/>
        </w:rPr>
        <w:footnoteReference w:id="2"/>
      </w:r>
      <w:r w:rsidRPr="00435400">
        <w:rPr>
          <w:rFonts w:ascii="Arial" w:hAnsi="Arial" w:cs="Arial"/>
          <w:b/>
          <w:lang w:bidi="pt-BR"/>
        </w:rPr>
        <w:t xml:space="preserve">. </w:t>
      </w:r>
    </w:p>
    <w:p w:rsidR="00435400" w:rsidRPr="00435400" w:rsidRDefault="00435400" w:rsidP="00657051">
      <w:pPr>
        <w:spacing w:line="360" w:lineRule="auto"/>
        <w:ind w:firstLine="2268"/>
        <w:jc w:val="both"/>
        <w:rPr>
          <w:rFonts w:ascii="Arial" w:hAnsi="Arial" w:cs="Arial"/>
        </w:rPr>
      </w:pPr>
      <w:r w:rsidRPr="00435400">
        <w:rPr>
          <w:rFonts w:ascii="Arial" w:hAnsi="Arial" w:cs="Arial"/>
        </w:rPr>
        <w:t>Assim, é possível notar que o conteúdo da proposição não viola iniciativa exclusiva do Chefe do Poder Executivo. Aliás, como evidenciado na jurisprudência, “o fato de a regra estar dirigida ao Poder Executivo, por si só, não implica que ela deva ser de iniciativa privativa do Governador do Estado”, mormente em se tratando de comandos normativos destinados a conferir maior amplitude às garantias fundamentais, aos direitos sociais ou aos princípios regedores da administração pública.</w:t>
      </w:r>
    </w:p>
    <w:p w:rsidR="00FC19C7" w:rsidRPr="00E9793E" w:rsidRDefault="00657051" w:rsidP="00C03331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Desse modo</w:t>
      </w:r>
      <w:r w:rsidR="00FC19C7" w:rsidRPr="00E9793E">
        <w:rPr>
          <w:rFonts w:ascii="Arial" w:hAnsi="Arial" w:cs="Arial"/>
        </w:rPr>
        <w:t>, peço a apreciação e consequente aprovação desse projeto pelo Nobres Colegas dessa Casa Legislativa.</w:t>
      </w:r>
    </w:p>
    <w:p w:rsidR="00A632AF" w:rsidRDefault="00A632AF" w:rsidP="00C0333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t>Autor:</w:t>
      </w:r>
    </w:p>
    <w:p w:rsidR="00C03331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Default="00657051" w:rsidP="00E2777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</w:p>
    <w:p w:rsidR="00E27771" w:rsidRDefault="00657051" w:rsidP="00E2777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PSDB</w:t>
      </w: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C03331">
      <w:pPr>
        <w:pStyle w:val="Corpodetexto"/>
        <w:spacing w:line="360" w:lineRule="auto"/>
        <w:rPr>
          <w:rFonts w:ascii="Arial" w:hAnsi="Arial" w:cs="Arial"/>
          <w:b/>
        </w:rPr>
      </w:pPr>
    </w:p>
    <w:p w:rsidR="0059308E" w:rsidRDefault="0059308E" w:rsidP="00C03331">
      <w:pPr>
        <w:pStyle w:val="Corpodetexto"/>
        <w:spacing w:line="360" w:lineRule="auto"/>
        <w:rPr>
          <w:rFonts w:ascii="Arial" w:hAnsi="Arial" w:cs="Arial"/>
          <w:b/>
        </w:rPr>
      </w:pPr>
    </w:p>
    <w:p w:rsidR="006A6DB1" w:rsidRDefault="006A6DB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232290" w:rsidRDefault="0023229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960D17" w:rsidRDefault="00960D17" w:rsidP="00A17BDF">
      <w:pPr>
        <w:pStyle w:val="Corpodetexto"/>
        <w:spacing w:line="360" w:lineRule="auto"/>
        <w:rPr>
          <w:rFonts w:ascii="Arial" w:hAnsi="Arial" w:cs="Arial"/>
          <w:b/>
          <w:u w:val="thick"/>
        </w:rPr>
      </w:pPr>
    </w:p>
    <w:p w:rsidR="00FC19C7" w:rsidRPr="002F6A2D" w:rsidRDefault="000D5A75" w:rsidP="002F6A2D">
      <w:pPr>
        <w:pStyle w:val="Corpodetexto"/>
        <w:spacing w:line="360" w:lineRule="auto"/>
        <w:ind w:firstLine="1701"/>
        <w:rPr>
          <w:rFonts w:ascii="Arial" w:hAnsi="Arial" w:cs="Arial"/>
          <w:b/>
          <w:sz w:val="28"/>
          <w:szCs w:val="28"/>
          <w:u w:val="thick"/>
        </w:rPr>
      </w:pPr>
      <w:bookmarkStart w:id="0" w:name="_GoBack"/>
      <w:bookmarkEnd w:id="0"/>
      <w:r w:rsidRPr="002F6A2D">
        <w:rPr>
          <w:rFonts w:ascii="Arial" w:hAnsi="Arial" w:cs="Arial"/>
          <w:b/>
          <w:sz w:val="28"/>
          <w:szCs w:val="28"/>
          <w:u w:val="thick"/>
        </w:rPr>
        <w:lastRenderedPageBreak/>
        <w:t>PROJETO DE LEI Nº</w:t>
      </w:r>
      <w:r w:rsidR="008A59F2" w:rsidRPr="002F6A2D">
        <w:rPr>
          <w:rFonts w:ascii="Arial" w:hAnsi="Arial" w:cs="Arial"/>
          <w:b/>
          <w:sz w:val="28"/>
          <w:szCs w:val="28"/>
          <w:u w:val="thick"/>
        </w:rPr>
        <w:t xml:space="preserve"> </w:t>
      </w:r>
      <w:r w:rsidR="002F6A2D" w:rsidRPr="002F6A2D">
        <w:rPr>
          <w:rFonts w:ascii="Arial" w:hAnsi="Arial" w:cs="Arial"/>
          <w:b/>
          <w:sz w:val="28"/>
          <w:szCs w:val="28"/>
          <w:u w:val="thick"/>
        </w:rPr>
        <w:t>086</w:t>
      </w:r>
      <w:r w:rsidR="00243362" w:rsidRPr="002F6A2D">
        <w:rPr>
          <w:rFonts w:ascii="Arial" w:hAnsi="Arial" w:cs="Arial"/>
          <w:b/>
          <w:sz w:val="28"/>
          <w:szCs w:val="28"/>
          <w:u w:val="thick"/>
        </w:rPr>
        <w:t xml:space="preserve"> </w:t>
      </w:r>
      <w:r w:rsidR="00C03331" w:rsidRPr="002F6A2D">
        <w:rPr>
          <w:rFonts w:ascii="Arial" w:hAnsi="Arial" w:cs="Arial"/>
          <w:b/>
          <w:sz w:val="28"/>
          <w:szCs w:val="28"/>
          <w:u w:val="thick"/>
        </w:rPr>
        <w:t>- 2018</w:t>
      </w:r>
    </w:p>
    <w:p w:rsidR="00FC19C7" w:rsidRPr="00B1076C" w:rsidRDefault="00FC19C7" w:rsidP="00657051">
      <w:pPr>
        <w:pStyle w:val="Corpodetexto"/>
        <w:spacing w:line="360" w:lineRule="auto"/>
        <w:ind w:left="2268" w:firstLine="1701"/>
        <w:rPr>
          <w:rFonts w:ascii="Arial" w:hAnsi="Arial" w:cs="Arial"/>
          <w:b/>
        </w:rPr>
      </w:pPr>
    </w:p>
    <w:p w:rsidR="00657051" w:rsidRPr="00657051" w:rsidRDefault="00657051" w:rsidP="00657051">
      <w:pPr>
        <w:spacing w:line="360" w:lineRule="auto"/>
        <w:ind w:left="1701"/>
        <w:jc w:val="both"/>
        <w:rPr>
          <w:rFonts w:ascii="Arial" w:hAnsi="Arial" w:cs="Arial"/>
          <w:b/>
          <w:bCs/>
          <w:lang w:bidi="pt-BR"/>
        </w:rPr>
      </w:pPr>
      <w:r w:rsidRPr="00657051">
        <w:rPr>
          <w:rFonts w:ascii="Arial" w:hAnsi="Arial" w:cs="Arial"/>
          <w:b/>
          <w:bCs/>
          <w:lang w:bidi="pt-BR"/>
        </w:rPr>
        <w:t>DISPÕE SOBRE O NIVELAMENTO DOS TAMPÕES, CAIXAS DE INSPEÇÃO, BOCAS DE LOBO E BUEIROS PARA A EXECUÇ</w:t>
      </w:r>
      <w:r>
        <w:rPr>
          <w:rFonts w:ascii="Arial" w:hAnsi="Arial" w:cs="Arial"/>
          <w:b/>
          <w:bCs/>
          <w:lang w:bidi="pt-BR"/>
        </w:rPr>
        <w:t xml:space="preserve">ÃO DE SERVIÇOS DE PAVIMENTAÇÃO, </w:t>
      </w:r>
      <w:r w:rsidRPr="00657051">
        <w:rPr>
          <w:rFonts w:ascii="Arial" w:hAnsi="Arial" w:cs="Arial"/>
          <w:b/>
          <w:bCs/>
          <w:lang w:bidi="pt-BR"/>
        </w:rPr>
        <w:t>RECAPEAMENTO, RECONSTRUÇÃO OU QUALQUER SERVIÇO DE MANUTENÇÃO DAS CALÇADAS E VIAS PÚBLICAS E DÁ OUTRAS PROVIDÊNCIAS.</w:t>
      </w:r>
    </w:p>
    <w:p w:rsidR="00A632AF" w:rsidRDefault="00A632AF" w:rsidP="005F758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657051" w:rsidRPr="00657051" w:rsidRDefault="00657051" w:rsidP="00657051">
      <w:pPr>
        <w:pStyle w:val="Textbody"/>
        <w:spacing w:before="240" w:after="240" w:line="360" w:lineRule="auto"/>
        <w:jc w:val="both"/>
        <w:rPr>
          <w:rFonts w:ascii="Arial" w:hAnsi="Arial" w:cs="Arial"/>
        </w:rPr>
      </w:pPr>
      <w:r w:rsidRPr="00657051">
        <w:rPr>
          <w:rFonts w:ascii="Arial" w:hAnsi="Arial" w:cs="Arial"/>
          <w:b/>
          <w:color w:val="000000"/>
          <w:w w:val="110"/>
        </w:rPr>
        <w:t>Art. 1º</w:t>
      </w:r>
      <w:r>
        <w:rPr>
          <w:rFonts w:ascii="Arial" w:hAnsi="Arial" w:cs="Arial"/>
          <w:color w:val="000000"/>
          <w:w w:val="110"/>
        </w:rPr>
        <w:t xml:space="preserve"> </w:t>
      </w:r>
      <w:r w:rsidRPr="00657051">
        <w:rPr>
          <w:rFonts w:ascii="Arial" w:hAnsi="Arial" w:cs="Arial"/>
          <w:color w:val="000000"/>
          <w:w w:val="110"/>
        </w:rPr>
        <w:t>Fica obrigatório o nivelamento dos tampões, das caixas de inspeção, das bocas de lobo e dos bueiros instalados nas calçadas e nas vias públicas do município, q</w:t>
      </w:r>
      <w:r w:rsidR="00A17BDF">
        <w:rPr>
          <w:rFonts w:ascii="Arial" w:hAnsi="Arial" w:cs="Arial"/>
          <w:color w:val="000000"/>
          <w:w w:val="110"/>
        </w:rPr>
        <w:t>uando no local onde estas estão</w:t>
      </w:r>
      <w:r w:rsidRPr="00657051">
        <w:rPr>
          <w:rFonts w:ascii="Arial" w:hAnsi="Arial" w:cs="Arial"/>
          <w:color w:val="000000"/>
          <w:w w:val="110"/>
        </w:rPr>
        <w:t xml:space="preserve"> ocorrerem intervenções, tais como:</w:t>
      </w:r>
    </w:p>
    <w:p w:rsidR="00657051" w:rsidRPr="00657051" w:rsidRDefault="00657051" w:rsidP="00657051">
      <w:pPr>
        <w:pStyle w:val="Textbody"/>
        <w:spacing w:before="240" w:after="240" w:line="360" w:lineRule="auto"/>
        <w:jc w:val="both"/>
        <w:rPr>
          <w:rFonts w:ascii="Arial" w:hAnsi="Arial" w:cs="Arial"/>
        </w:rPr>
      </w:pPr>
      <w:r w:rsidRPr="00657051">
        <w:rPr>
          <w:rFonts w:ascii="Arial" w:hAnsi="Arial" w:cs="Arial"/>
          <w:b/>
          <w:bCs/>
          <w:color w:val="000000"/>
          <w:w w:val="110"/>
        </w:rPr>
        <w:t>I -</w:t>
      </w:r>
      <w:r w:rsidRPr="00657051">
        <w:rPr>
          <w:rFonts w:ascii="Arial" w:hAnsi="Arial" w:cs="Arial"/>
          <w:color w:val="000000"/>
          <w:w w:val="110"/>
        </w:rPr>
        <w:t xml:space="preserve"> execução de obras de pavimentação;</w:t>
      </w:r>
    </w:p>
    <w:p w:rsidR="00657051" w:rsidRPr="00657051" w:rsidRDefault="00657051" w:rsidP="00657051">
      <w:pPr>
        <w:pStyle w:val="Textbody"/>
        <w:spacing w:before="240" w:after="240" w:line="360" w:lineRule="auto"/>
        <w:jc w:val="both"/>
        <w:rPr>
          <w:rFonts w:ascii="Arial" w:hAnsi="Arial" w:cs="Arial"/>
        </w:rPr>
      </w:pPr>
      <w:r w:rsidRPr="00657051">
        <w:rPr>
          <w:rFonts w:ascii="Arial" w:hAnsi="Arial" w:cs="Arial"/>
          <w:b/>
          <w:bCs/>
          <w:color w:val="000000"/>
          <w:w w:val="110"/>
        </w:rPr>
        <w:t>II -</w:t>
      </w:r>
      <w:r w:rsidRPr="00657051">
        <w:rPr>
          <w:rFonts w:ascii="Arial" w:hAnsi="Arial" w:cs="Arial"/>
          <w:color w:val="000000"/>
          <w:w w:val="110"/>
        </w:rPr>
        <w:t xml:space="preserve"> reconstrução ou qualquer tipo de serviço de manutenção.</w:t>
      </w:r>
    </w:p>
    <w:p w:rsidR="00657051" w:rsidRPr="00657051" w:rsidRDefault="00657051" w:rsidP="00657051">
      <w:pPr>
        <w:pStyle w:val="Textbody"/>
        <w:spacing w:before="240" w:after="240" w:line="360" w:lineRule="auto"/>
        <w:jc w:val="both"/>
        <w:rPr>
          <w:rFonts w:ascii="Arial" w:hAnsi="Arial" w:cs="Arial"/>
        </w:rPr>
      </w:pPr>
      <w:r w:rsidRPr="00657051">
        <w:rPr>
          <w:rFonts w:ascii="Arial" w:hAnsi="Arial" w:cs="Arial"/>
          <w:b/>
          <w:bCs/>
          <w:color w:val="000000"/>
          <w:w w:val="110"/>
        </w:rPr>
        <w:t>§ 1º</w:t>
      </w:r>
      <w:r w:rsidRPr="00657051">
        <w:rPr>
          <w:rFonts w:ascii="Arial" w:hAnsi="Arial" w:cs="Arial"/>
          <w:color w:val="000000"/>
          <w:w w:val="110"/>
        </w:rPr>
        <w:t xml:space="preserve"> O nivelamento dos tampões e das caixas de inspeção devem corresponder à mesma altura que ficará o piso, após o termino da execução da obra, deixando a superfície do pavimento sem degraus, ressaltos ou buracos, que possam vir a causar danos aos usuários da via.</w:t>
      </w:r>
    </w:p>
    <w:p w:rsidR="00657051" w:rsidRPr="00657051" w:rsidRDefault="00657051" w:rsidP="00657051">
      <w:pPr>
        <w:pStyle w:val="Textbody"/>
        <w:spacing w:before="240" w:after="240" w:line="360" w:lineRule="auto"/>
        <w:jc w:val="both"/>
        <w:rPr>
          <w:rFonts w:ascii="Arial" w:hAnsi="Arial" w:cs="Arial"/>
        </w:rPr>
      </w:pPr>
      <w:r w:rsidRPr="00657051">
        <w:rPr>
          <w:rFonts w:ascii="Arial" w:hAnsi="Arial" w:cs="Arial"/>
          <w:b/>
          <w:bCs/>
          <w:color w:val="000000"/>
          <w:w w:val="110"/>
        </w:rPr>
        <w:t>§ 2º</w:t>
      </w:r>
      <w:r w:rsidRPr="00657051">
        <w:rPr>
          <w:rFonts w:ascii="Arial" w:hAnsi="Arial" w:cs="Arial"/>
          <w:color w:val="000000"/>
          <w:w w:val="110"/>
        </w:rPr>
        <w:t xml:space="preserve"> O nivelamento das bocas de lobo e dos bueiros deve corresponder à altura mais próxima possível da via pública, utilizando-se as exigências técnicas para que sua eficácia não seja prejudicada.</w:t>
      </w:r>
    </w:p>
    <w:p w:rsidR="00657051" w:rsidRPr="00657051" w:rsidRDefault="00657051" w:rsidP="00657051">
      <w:pPr>
        <w:pStyle w:val="Textbody"/>
        <w:spacing w:before="240" w:after="240" w:line="360" w:lineRule="auto"/>
        <w:jc w:val="both"/>
        <w:rPr>
          <w:rFonts w:ascii="Arial" w:hAnsi="Arial" w:cs="Arial"/>
        </w:rPr>
      </w:pPr>
      <w:r w:rsidRPr="00657051">
        <w:rPr>
          <w:rFonts w:ascii="Arial" w:hAnsi="Arial" w:cs="Arial"/>
          <w:b/>
          <w:bCs/>
          <w:color w:val="000000"/>
          <w:w w:val="110"/>
        </w:rPr>
        <w:lastRenderedPageBreak/>
        <w:t>Art. 2º</w:t>
      </w:r>
      <w:r w:rsidRPr="00657051">
        <w:rPr>
          <w:rFonts w:ascii="Arial" w:hAnsi="Arial" w:cs="Arial"/>
          <w:color w:val="000000"/>
          <w:w w:val="110"/>
        </w:rPr>
        <w:t xml:space="preserve"> A realização do nivelamento deve ocorrer simultaneamente à execução do trabalho em andamento</w:t>
      </w:r>
      <w:r w:rsidRPr="00657051">
        <w:rPr>
          <w:rFonts w:ascii="Arial" w:hAnsi="Arial" w:cs="Arial"/>
          <w:color w:val="000000"/>
          <w:spacing w:val="-12"/>
          <w:w w:val="110"/>
        </w:rPr>
        <w:t xml:space="preserve"> </w:t>
      </w:r>
      <w:r w:rsidRPr="00657051">
        <w:rPr>
          <w:rFonts w:ascii="Arial" w:hAnsi="Arial" w:cs="Arial"/>
          <w:color w:val="000000"/>
          <w:w w:val="110"/>
        </w:rPr>
        <w:t>por</w:t>
      </w:r>
      <w:r w:rsidRPr="00657051">
        <w:rPr>
          <w:rFonts w:ascii="Arial" w:hAnsi="Arial" w:cs="Arial"/>
          <w:color w:val="000000"/>
          <w:spacing w:val="-12"/>
          <w:w w:val="110"/>
        </w:rPr>
        <w:t xml:space="preserve"> </w:t>
      </w:r>
      <w:r w:rsidRPr="00657051">
        <w:rPr>
          <w:rFonts w:ascii="Arial" w:hAnsi="Arial" w:cs="Arial"/>
          <w:color w:val="000000"/>
          <w:w w:val="110"/>
        </w:rPr>
        <w:t>parte</w:t>
      </w:r>
      <w:r w:rsidRPr="00657051">
        <w:rPr>
          <w:rFonts w:ascii="Arial" w:hAnsi="Arial" w:cs="Arial"/>
          <w:color w:val="000000"/>
          <w:spacing w:val="-11"/>
          <w:w w:val="110"/>
        </w:rPr>
        <w:t xml:space="preserve"> </w:t>
      </w:r>
      <w:r w:rsidRPr="00657051">
        <w:rPr>
          <w:rFonts w:ascii="Arial" w:hAnsi="Arial" w:cs="Arial"/>
          <w:color w:val="000000"/>
          <w:w w:val="110"/>
        </w:rPr>
        <w:t>do</w:t>
      </w:r>
      <w:r w:rsidRPr="00657051">
        <w:rPr>
          <w:rFonts w:ascii="Arial" w:hAnsi="Arial" w:cs="Arial"/>
          <w:color w:val="000000"/>
          <w:spacing w:val="-12"/>
          <w:w w:val="110"/>
        </w:rPr>
        <w:t xml:space="preserve"> </w:t>
      </w:r>
      <w:r w:rsidRPr="00657051">
        <w:rPr>
          <w:rFonts w:ascii="Arial" w:hAnsi="Arial" w:cs="Arial"/>
          <w:color w:val="000000"/>
          <w:w w:val="110"/>
        </w:rPr>
        <w:t>Poder</w:t>
      </w:r>
      <w:r w:rsidRPr="00657051">
        <w:rPr>
          <w:rFonts w:ascii="Arial" w:hAnsi="Arial" w:cs="Arial"/>
          <w:color w:val="000000"/>
          <w:spacing w:val="-12"/>
          <w:w w:val="110"/>
        </w:rPr>
        <w:t xml:space="preserve"> Público </w:t>
      </w:r>
      <w:r w:rsidRPr="00657051">
        <w:rPr>
          <w:rFonts w:ascii="Arial" w:hAnsi="Arial" w:cs="Arial"/>
          <w:color w:val="000000"/>
          <w:w w:val="110"/>
        </w:rPr>
        <w:t>ou</w:t>
      </w:r>
      <w:r w:rsidRPr="00657051">
        <w:rPr>
          <w:rFonts w:ascii="Arial" w:hAnsi="Arial" w:cs="Arial"/>
          <w:color w:val="000000"/>
          <w:spacing w:val="-12"/>
          <w:w w:val="110"/>
        </w:rPr>
        <w:t xml:space="preserve"> </w:t>
      </w:r>
      <w:r w:rsidRPr="00657051">
        <w:rPr>
          <w:rFonts w:ascii="Arial" w:hAnsi="Arial" w:cs="Arial"/>
          <w:color w:val="000000"/>
          <w:w w:val="110"/>
        </w:rPr>
        <w:t>das</w:t>
      </w:r>
      <w:r w:rsidRPr="00657051">
        <w:rPr>
          <w:rFonts w:ascii="Arial" w:hAnsi="Arial" w:cs="Arial"/>
          <w:color w:val="000000"/>
          <w:spacing w:val="-12"/>
          <w:w w:val="110"/>
        </w:rPr>
        <w:t xml:space="preserve"> </w:t>
      </w:r>
      <w:r w:rsidRPr="00657051">
        <w:rPr>
          <w:rFonts w:ascii="Arial" w:hAnsi="Arial" w:cs="Arial"/>
          <w:color w:val="000000"/>
          <w:w w:val="110"/>
        </w:rPr>
        <w:t>Concessionárias</w:t>
      </w:r>
      <w:r w:rsidRPr="00657051">
        <w:rPr>
          <w:rFonts w:ascii="Arial" w:hAnsi="Arial" w:cs="Arial"/>
          <w:color w:val="000000"/>
          <w:spacing w:val="-12"/>
          <w:w w:val="110"/>
        </w:rPr>
        <w:t xml:space="preserve"> </w:t>
      </w:r>
      <w:r w:rsidRPr="00657051">
        <w:rPr>
          <w:rFonts w:ascii="Arial" w:hAnsi="Arial" w:cs="Arial"/>
          <w:color w:val="000000"/>
          <w:w w:val="110"/>
        </w:rPr>
        <w:t>de</w:t>
      </w:r>
      <w:r w:rsidRPr="00657051">
        <w:rPr>
          <w:rFonts w:ascii="Arial" w:hAnsi="Arial" w:cs="Arial"/>
          <w:color w:val="000000"/>
          <w:spacing w:val="-12"/>
          <w:w w:val="110"/>
        </w:rPr>
        <w:t xml:space="preserve"> </w:t>
      </w:r>
      <w:r w:rsidRPr="00657051">
        <w:rPr>
          <w:rFonts w:ascii="Arial" w:hAnsi="Arial" w:cs="Arial"/>
          <w:color w:val="000000"/>
          <w:w w:val="110"/>
        </w:rPr>
        <w:t>Serviço.</w:t>
      </w:r>
    </w:p>
    <w:p w:rsidR="00657051" w:rsidRPr="00657051" w:rsidRDefault="00657051" w:rsidP="00657051">
      <w:pPr>
        <w:pStyle w:val="Textbody"/>
        <w:spacing w:before="240" w:after="240" w:line="360" w:lineRule="auto"/>
        <w:jc w:val="both"/>
        <w:rPr>
          <w:rFonts w:ascii="Arial" w:hAnsi="Arial" w:cs="Arial"/>
        </w:rPr>
      </w:pPr>
      <w:r w:rsidRPr="00657051">
        <w:rPr>
          <w:rFonts w:ascii="Arial" w:hAnsi="Arial" w:cs="Arial"/>
          <w:b/>
          <w:bCs/>
          <w:color w:val="000000"/>
          <w:w w:val="110"/>
        </w:rPr>
        <w:t>Parágrafo Único.</w:t>
      </w:r>
      <w:r w:rsidRPr="00657051">
        <w:rPr>
          <w:rFonts w:ascii="Arial" w:hAnsi="Arial" w:cs="Arial"/>
          <w:color w:val="000000"/>
          <w:w w:val="110"/>
        </w:rPr>
        <w:t xml:space="preserve"> As empresas responsáveis pelos tampões de água, esgoto, energia elétrica, gás, </w:t>
      </w:r>
      <w:r w:rsidR="00A17BDF">
        <w:rPr>
          <w:rFonts w:ascii="Arial" w:hAnsi="Arial" w:cs="Arial"/>
          <w:color w:val="000000"/>
          <w:w w:val="110"/>
        </w:rPr>
        <w:t>telefonia e outros</w:t>
      </w:r>
      <w:r w:rsidRPr="00657051">
        <w:rPr>
          <w:rFonts w:ascii="Arial" w:hAnsi="Arial" w:cs="Arial"/>
          <w:color w:val="000000"/>
          <w:w w:val="110"/>
        </w:rPr>
        <w:t xml:space="preserve"> podem ser notificadas pelos responsáveis pela obra, para acompanhar os serviços, enquanto estão sendo executados.</w:t>
      </w:r>
    </w:p>
    <w:p w:rsidR="00657051" w:rsidRDefault="00657051" w:rsidP="00657051">
      <w:pPr>
        <w:pStyle w:val="Textbody"/>
        <w:spacing w:before="240" w:after="240" w:line="360" w:lineRule="auto"/>
        <w:jc w:val="both"/>
        <w:rPr>
          <w:rFonts w:ascii="Arial" w:hAnsi="Arial" w:cs="Arial"/>
          <w:color w:val="000000"/>
          <w:w w:val="110"/>
        </w:rPr>
      </w:pPr>
      <w:r w:rsidRPr="00657051">
        <w:rPr>
          <w:rFonts w:ascii="Arial" w:hAnsi="Arial" w:cs="Arial"/>
          <w:b/>
          <w:bCs/>
          <w:color w:val="000000"/>
          <w:w w:val="110"/>
        </w:rPr>
        <w:t>Art. 3º</w:t>
      </w:r>
      <w:r w:rsidRPr="00657051">
        <w:rPr>
          <w:rFonts w:ascii="Arial" w:hAnsi="Arial" w:cs="Arial"/>
          <w:color w:val="000000"/>
          <w:w w:val="110"/>
        </w:rPr>
        <w:t xml:space="preserve"> É obrigatório também o nivelamento de tampões pertencentes às Empresas, Autarquias e Concessionárias de Serviços Públicos, bem como as caixas de inspeção, pertencentes ao proprietário do imóvel, quando executarem obras que venham intervir no piso das calçadas ou na via pública.</w:t>
      </w:r>
    </w:p>
    <w:p w:rsidR="00657051" w:rsidRPr="00657051" w:rsidRDefault="00657051" w:rsidP="00657051">
      <w:pPr>
        <w:pStyle w:val="Textbody"/>
        <w:spacing w:before="240"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4</w:t>
      </w:r>
      <w:r w:rsidRPr="00657051">
        <w:rPr>
          <w:rFonts w:ascii="Arial" w:hAnsi="Arial" w:cs="Arial"/>
          <w:b/>
          <w:bCs/>
        </w:rPr>
        <w:t>º</w:t>
      </w:r>
      <w:r w:rsidRPr="00657051">
        <w:rPr>
          <w:rFonts w:ascii="Arial" w:hAnsi="Arial" w:cs="Arial"/>
        </w:rPr>
        <w:t xml:space="preserve"> Esta Lei entra em vigor na data de sua publicação</w:t>
      </w:r>
      <w:r>
        <w:rPr>
          <w:rFonts w:ascii="Arial" w:hAnsi="Arial" w:cs="Arial"/>
        </w:rPr>
        <w:t>.</w:t>
      </w:r>
    </w:p>
    <w:p w:rsidR="0006309E" w:rsidRDefault="0006309E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2D391B" w:rsidRPr="00B1076C" w:rsidRDefault="000D5A75" w:rsidP="000D5A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930D94" w:rsidRPr="00B1076C" w:rsidRDefault="00930D94" w:rsidP="008A59F2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ECB" w:rsidRDefault="00136ECB" w:rsidP="00997FE2">
      <w:r>
        <w:separator/>
      </w:r>
    </w:p>
  </w:endnote>
  <w:endnote w:type="continuationSeparator" w:id="0">
    <w:p w:rsidR="00136ECB" w:rsidRDefault="00136ECB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cofont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ECB" w:rsidRDefault="00136ECB" w:rsidP="00997FE2">
      <w:r>
        <w:separator/>
      </w:r>
    </w:p>
  </w:footnote>
  <w:footnote w:type="continuationSeparator" w:id="0">
    <w:p w:rsidR="00136ECB" w:rsidRDefault="00136ECB" w:rsidP="00997FE2">
      <w:r>
        <w:continuationSeparator/>
      </w:r>
    </w:p>
  </w:footnote>
  <w:footnote w:id="1">
    <w:p w:rsidR="00435400" w:rsidRDefault="00435400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435400">
        <w:rPr>
          <w:rFonts w:ascii="Arial" w:hAnsi="Arial" w:cs="Arial"/>
        </w:rPr>
        <w:t>ADI n.º 724-6 MC, rel. Min. Celso de Mello, julgado em 7-5-1992</w:t>
      </w:r>
    </w:p>
  </w:footnote>
  <w:footnote w:id="2">
    <w:p w:rsidR="00435400" w:rsidRDefault="00435400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435400">
        <w:rPr>
          <w:rFonts w:ascii="Arial" w:hAnsi="Arial" w:cs="Arial"/>
        </w:rPr>
        <w:t xml:space="preserve">ADI n.º 2.444, rel. Min. Dias </w:t>
      </w:r>
      <w:proofErr w:type="spellStart"/>
      <w:r w:rsidRPr="00435400">
        <w:rPr>
          <w:rFonts w:ascii="Arial" w:hAnsi="Arial" w:cs="Arial"/>
        </w:rPr>
        <w:t>Toffoli</w:t>
      </w:r>
      <w:proofErr w:type="spellEnd"/>
      <w:r w:rsidRPr="00435400">
        <w:rPr>
          <w:rFonts w:ascii="Arial" w:hAnsi="Arial" w:cs="Arial"/>
        </w:rPr>
        <w:t>, julgado em 6-11-2014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7C"/>
    <w:rsid w:val="00017AB5"/>
    <w:rsid w:val="0006309E"/>
    <w:rsid w:val="000D5A75"/>
    <w:rsid w:val="000F2568"/>
    <w:rsid w:val="00136ECB"/>
    <w:rsid w:val="00137D99"/>
    <w:rsid w:val="0015567D"/>
    <w:rsid w:val="00162CBE"/>
    <w:rsid w:val="001D3ADF"/>
    <w:rsid w:val="001D7272"/>
    <w:rsid w:val="00232290"/>
    <w:rsid w:val="00243362"/>
    <w:rsid w:val="0029090F"/>
    <w:rsid w:val="002D391B"/>
    <w:rsid w:val="002D769C"/>
    <w:rsid w:val="002F6A2D"/>
    <w:rsid w:val="003009F6"/>
    <w:rsid w:val="003459BB"/>
    <w:rsid w:val="003B7A5B"/>
    <w:rsid w:val="0040023B"/>
    <w:rsid w:val="00435400"/>
    <w:rsid w:val="00452EDB"/>
    <w:rsid w:val="00466174"/>
    <w:rsid w:val="004745B5"/>
    <w:rsid w:val="004E347B"/>
    <w:rsid w:val="0053545F"/>
    <w:rsid w:val="005776A5"/>
    <w:rsid w:val="0059308E"/>
    <w:rsid w:val="005F7585"/>
    <w:rsid w:val="00604B82"/>
    <w:rsid w:val="00657051"/>
    <w:rsid w:val="00672A36"/>
    <w:rsid w:val="006A6DB1"/>
    <w:rsid w:val="007032BA"/>
    <w:rsid w:val="00705AEB"/>
    <w:rsid w:val="00723EF0"/>
    <w:rsid w:val="007465F9"/>
    <w:rsid w:val="007B4FD3"/>
    <w:rsid w:val="007C1132"/>
    <w:rsid w:val="00894F8E"/>
    <w:rsid w:val="008A59F2"/>
    <w:rsid w:val="009039C0"/>
    <w:rsid w:val="00930D94"/>
    <w:rsid w:val="00960D17"/>
    <w:rsid w:val="00975602"/>
    <w:rsid w:val="00997FE2"/>
    <w:rsid w:val="009A6E0C"/>
    <w:rsid w:val="009B4F6C"/>
    <w:rsid w:val="009F4739"/>
    <w:rsid w:val="00A16116"/>
    <w:rsid w:val="00A17BDF"/>
    <w:rsid w:val="00A406A1"/>
    <w:rsid w:val="00A632AF"/>
    <w:rsid w:val="00AA3D02"/>
    <w:rsid w:val="00AC3D96"/>
    <w:rsid w:val="00AF4D30"/>
    <w:rsid w:val="00B020C0"/>
    <w:rsid w:val="00B1076C"/>
    <w:rsid w:val="00B12658"/>
    <w:rsid w:val="00B94691"/>
    <w:rsid w:val="00BA794B"/>
    <w:rsid w:val="00C03331"/>
    <w:rsid w:val="00C40646"/>
    <w:rsid w:val="00C40B38"/>
    <w:rsid w:val="00C9515C"/>
    <w:rsid w:val="00CA10DD"/>
    <w:rsid w:val="00CB367C"/>
    <w:rsid w:val="00DA12F5"/>
    <w:rsid w:val="00DB5B7E"/>
    <w:rsid w:val="00DD54B3"/>
    <w:rsid w:val="00E27771"/>
    <w:rsid w:val="00E74165"/>
    <w:rsid w:val="00E9793E"/>
    <w:rsid w:val="00ED5343"/>
    <w:rsid w:val="00ED59A4"/>
    <w:rsid w:val="00F4063F"/>
    <w:rsid w:val="00FB4698"/>
    <w:rsid w:val="00FC19C7"/>
    <w:rsid w:val="00FF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customStyle="1" w:styleId="Ementa-Corpo">
    <w:name w:val="Ementa - Corpo"/>
    <w:basedOn w:val="Normal"/>
    <w:rsid w:val="00A16116"/>
    <w:pPr>
      <w:ind w:left="2835"/>
      <w:jc w:val="both"/>
    </w:pPr>
    <w:rPr>
      <w:rFonts w:ascii="Ecofont Vera Sans" w:hAnsi="Ecofont Vera Sans" w:cs="Arial"/>
      <w:b/>
      <w:bCs/>
      <w:sz w:val="22"/>
      <w:szCs w:val="22"/>
    </w:rPr>
  </w:style>
  <w:style w:type="paragraph" w:styleId="Cabealho">
    <w:name w:val="header"/>
    <w:basedOn w:val="Normal"/>
    <w:link w:val="CabealhoChar"/>
    <w:uiPriority w:val="99"/>
    <w:semiHidden/>
    <w:unhideWhenUsed/>
    <w:rsid w:val="002322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232290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D769C"/>
    <w:pPr>
      <w:spacing w:before="100" w:beforeAutospacing="1" w:after="100" w:afterAutospacing="1"/>
    </w:pPr>
  </w:style>
  <w:style w:type="paragraph" w:customStyle="1" w:styleId="Textbody">
    <w:name w:val="Text body"/>
    <w:basedOn w:val="Normal"/>
    <w:rsid w:val="00657051"/>
    <w:pPr>
      <w:widowControl w:val="0"/>
      <w:suppressAutoHyphens/>
      <w:autoSpaceDN w:val="0"/>
      <w:spacing w:after="120"/>
      <w:textAlignment w:val="baseline"/>
    </w:pPr>
    <w:rPr>
      <w:rFonts w:ascii="DejaVu Sans" w:eastAsia="DejaVu Sans" w:hAnsi="DejaVu Sans" w:cs="DejaVu Sans"/>
      <w:kern w:val="3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1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0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9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7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4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8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03235-7718-4992-B63F-E3423D161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1210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7730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5</cp:revision>
  <cp:lastPrinted>2018-02-28T18:17:00Z</cp:lastPrinted>
  <dcterms:created xsi:type="dcterms:W3CDTF">2018-11-21T17:15:00Z</dcterms:created>
  <dcterms:modified xsi:type="dcterms:W3CDTF">2018-11-23T12:23:00Z</dcterms:modified>
</cp:coreProperties>
</file>