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754CE550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EE334D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CC2936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98219E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C2936">
        <w:rPr>
          <w:rFonts w:ascii="Arial" w:hAnsi="Arial" w:cs="Arial"/>
          <w:b/>
          <w:bCs/>
          <w:sz w:val="24"/>
          <w:szCs w:val="24"/>
        </w:rPr>
        <w:t>09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D671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BF57A4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D671D">
        <w:rPr>
          <w:rFonts w:ascii="Arial" w:hAnsi="Arial" w:cs="Arial"/>
          <w:b/>
          <w:sz w:val="24"/>
          <w:szCs w:val="24"/>
        </w:rPr>
        <w:t>0</w:t>
      </w:r>
      <w:r w:rsidR="00CC2936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EE334D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D671D">
        <w:rPr>
          <w:rFonts w:ascii="Arial" w:hAnsi="Arial" w:cs="Arial"/>
          <w:b/>
          <w:sz w:val="24"/>
          <w:szCs w:val="24"/>
        </w:rPr>
        <w:t>fevereiro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5E4E68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CC2936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05B0904B" w:rsidR="006F3680" w:rsidRDefault="006F3680" w:rsidP="000D671D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CC2936" w:rsidRPr="003E210D">
        <w:rPr>
          <w:rFonts w:ascii="Arial" w:hAnsi="Arial" w:cs="Arial"/>
          <w:i/>
          <w:iCs/>
        </w:rPr>
        <w:t>Dispõe sobre a instituição de critérios e procedimentos para a cessão de uso de bens móveis e imóveis pertencentes ao Poder Executivo Municipal mediante sorteio público,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0D671D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334CEF0E" w:rsidR="006F3680" w:rsidRPr="000D671D" w:rsidRDefault="000D671D" w:rsidP="000D671D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0D671D">
        <w:rPr>
          <w:rFonts w:ascii="Arial" w:hAnsi="Arial" w:cs="Arial"/>
          <w:b/>
          <w:sz w:val="24"/>
          <w:szCs w:val="24"/>
        </w:rPr>
        <w:t>I – RELATÓRIO ANALÍTICO:</w:t>
      </w:r>
    </w:p>
    <w:p w14:paraId="5C867208" w14:textId="77777777" w:rsidR="00CC2936" w:rsidRPr="00CC2936" w:rsidRDefault="006F3680" w:rsidP="00CC2936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0D671D">
        <w:rPr>
          <w:rFonts w:ascii="Arial" w:hAnsi="Arial" w:cs="Arial"/>
          <w:sz w:val="24"/>
          <w:szCs w:val="24"/>
        </w:rPr>
        <w:tab/>
      </w:r>
      <w:r w:rsidR="00CC2936" w:rsidRPr="00CC2936">
        <w:rPr>
          <w:rFonts w:ascii="Arial" w:hAnsi="Arial" w:cs="Arial"/>
        </w:rPr>
        <w:t xml:space="preserve">O </w:t>
      </w:r>
      <w:r w:rsidR="00CC2936" w:rsidRPr="00CC2936">
        <w:rPr>
          <w:rFonts w:ascii="Arial" w:hAnsi="Arial" w:cs="Arial"/>
          <w:b/>
          <w:bCs/>
        </w:rPr>
        <w:t>Projeto de Lei nº 07/2026</w:t>
      </w:r>
      <w:r w:rsidR="00CC2936" w:rsidRPr="00CC2936">
        <w:rPr>
          <w:rFonts w:ascii="Arial" w:hAnsi="Arial" w:cs="Arial"/>
        </w:rPr>
        <w:t xml:space="preserve"> foi encaminhado a esta </w:t>
      </w:r>
      <w:r w:rsidR="00CC2936" w:rsidRPr="00CC2936">
        <w:rPr>
          <w:rFonts w:ascii="Arial" w:hAnsi="Arial" w:cs="Arial"/>
          <w:b/>
          <w:bCs/>
        </w:rPr>
        <w:t>Comissão de Legislação, Justiça e Redação Final</w:t>
      </w:r>
      <w:r w:rsidR="00CC2936" w:rsidRPr="00CC2936">
        <w:rPr>
          <w:rFonts w:ascii="Arial" w:hAnsi="Arial" w:cs="Arial"/>
        </w:rPr>
        <w:t xml:space="preserve">, nos termos do Regimento Interno desta Casa Legislativa, para análise quanto aos aspectos </w:t>
      </w:r>
      <w:r w:rsidR="00CC2936" w:rsidRPr="00CC2936">
        <w:rPr>
          <w:rFonts w:ascii="Arial" w:hAnsi="Arial" w:cs="Arial"/>
          <w:b/>
          <w:bCs/>
        </w:rPr>
        <w:t>constitucional, legal, jurídico e de técnica legislativa</w:t>
      </w:r>
      <w:r w:rsidR="00CC2936" w:rsidRPr="00CC2936">
        <w:rPr>
          <w:rFonts w:ascii="Arial" w:hAnsi="Arial" w:cs="Arial"/>
        </w:rPr>
        <w:t>.</w:t>
      </w:r>
    </w:p>
    <w:p w14:paraId="2CD18A3A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CC2936">
        <w:rPr>
          <w:rFonts w:ascii="Arial" w:hAnsi="Arial" w:cs="Arial"/>
        </w:rPr>
        <w:t xml:space="preserve">A proposição tem por objetivo </w:t>
      </w:r>
      <w:r w:rsidRPr="00CC2936">
        <w:rPr>
          <w:rFonts w:ascii="Arial" w:hAnsi="Arial" w:cs="Arial"/>
          <w:b/>
          <w:bCs/>
        </w:rPr>
        <w:t>instituir critérios e procedimentos para a cessão de uso de bens móveis e imóveis pertencentes ao Poder Executivo Municipal</w:t>
      </w:r>
      <w:r w:rsidRPr="00CC2936">
        <w:rPr>
          <w:rFonts w:ascii="Arial" w:hAnsi="Arial" w:cs="Arial"/>
        </w:rPr>
        <w:t xml:space="preserve">, estabelecendo a realização de </w:t>
      </w:r>
      <w:r w:rsidRPr="00CC2936">
        <w:rPr>
          <w:rFonts w:ascii="Arial" w:hAnsi="Arial" w:cs="Arial"/>
          <w:b/>
          <w:bCs/>
        </w:rPr>
        <w:t>sorteio público como mecanismo de seleção</w:t>
      </w:r>
      <w:r w:rsidRPr="00CC2936">
        <w:rPr>
          <w:rFonts w:ascii="Arial" w:hAnsi="Arial" w:cs="Arial"/>
        </w:rPr>
        <w:t xml:space="preserve"> quando a demanda pelos bens públicos superar a disponibilidade existente.</w:t>
      </w:r>
    </w:p>
    <w:p w14:paraId="7DB0AD6E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CC2936">
        <w:rPr>
          <w:rFonts w:ascii="Arial" w:hAnsi="Arial" w:cs="Arial"/>
        </w:rPr>
        <w:t xml:space="preserve">O projeto estabelece princípios orientadores do procedimento administrativo, tais como </w:t>
      </w:r>
      <w:r w:rsidRPr="00CC2936">
        <w:rPr>
          <w:rFonts w:ascii="Arial" w:hAnsi="Arial" w:cs="Arial"/>
          <w:b/>
          <w:bCs/>
        </w:rPr>
        <w:t>legalidade, impessoalidade, moralidade administrativa, publicidade, transparência, eficiência e igualdade de oportunidades</w:t>
      </w:r>
      <w:r w:rsidRPr="00CC2936">
        <w:rPr>
          <w:rFonts w:ascii="Arial" w:hAnsi="Arial" w:cs="Arial"/>
        </w:rPr>
        <w:t>, em consonância com os princípios que regem a Administração Pública.</w:t>
      </w:r>
    </w:p>
    <w:p w14:paraId="7DFA5768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CC2936">
        <w:rPr>
          <w:rFonts w:ascii="Arial" w:hAnsi="Arial" w:cs="Arial"/>
        </w:rPr>
        <w:t xml:space="preserve">A proposta também disciplina aspectos operacionais do procedimento de cessão de uso, prevendo a realização de </w:t>
      </w:r>
      <w:r w:rsidRPr="00CC2936">
        <w:rPr>
          <w:rFonts w:ascii="Arial" w:hAnsi="Arial" w:cs="Arial"/>
          <w:b/>
          <w:bCs/>
        </w:rPr>
        <w:t>edital público contendo regras claras de participação</w:t>
      </w:r>
      <w:r w:rsidRPr="00CC2936">
        <w:rPr>
          <w:rFonts w:ascii="Arial" w:hAnsi="Arial" w:cs="Arial"/>
        </w:rPr>
        <w:t>, critérios de habilitação dos interessados, realização de sorteio em sessão pública, registro em ata e divulgação do resultado nos meios oficiais do Município.</w:t>
      </w:r>
    </w:p>
    <w:p w14:paraId="07F83A21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CC2936">
        <w:rPr>
          <w:rFonts w:ascii="Arial" w:hAnsi="Arial" w:cs="Arial"/>
        </w:rPr>
        <w:lastRenderedPageBreak/>
        <w:t xml:space="preserve">Além disso, o projeto prevê </w:t>
      </w:r>
      <w:r w:rsidRPr="00CC2936">
        <w:rPr>
          <w:rFonts w:ascii="Arial" w:hAnsi="Arial" w:cs="Arial"/>
          <w:b/>
          <w:bCs/>
        </w:rPr>
        <w:t>reserva de vagas para determinados grupos sociais</w:t>
      </w:r>
      <w:r w:rsidRPr="00CC2936">
        <w:rPr>
          <w:rFonts w:ascii="Arial" w:hAnsi="Arial" w:cs="Arial"/>
        </w:rPr>
        <w:t>, como pessoas idosas, pessoas com deficiência e mulheres chefes de família em situação de vulnerabilidade social, com o objetivo de promover maior equidade no acesso a políticas públicas relacionadas ao uso de bens públicos municipais.</w:t>
      </w:r>
    </w:p>
    <w:p w14:paraId="58DAB584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CC2936">
        <w:rPr>
          <w:rFonts w:ascii="Arial" w:hAnsi="Arial" w:cs="Arial"/>
        </w:rPr>
        <w:t xml:space="preserve">A proposição também estabelece regras para formalização da cessão mediante </w:t>
      </w:r>
      <w:r w:rsidRPr="00CC2936">
        <w:rPr>
          <w:rFonts w:ascii="Arial" w:hAnsi="Arial" w:cs="Arial"/>
          <w:b/>
          <w:bCs/>
        </w:rPr>
        <w:t>termo administrativo</w:t>
      </w:r>
      <w:r w:rsidRPr="00CC2936">
        <w:rPr>
          <w:rFonts w:ascii="Arial" w:hAnsi="Arial" w:cs="Arial"/>
        </w:rPr>
        <w:t>, disciplinando obrigações do cessionário, hipóteses de rescisão, bem como sanções administrativas em caso de descumprimento das condições estabelecidas.</w:t>
      </w:r>
    </w:p>
    <w:p w14:paraId="59726543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CC2936">
        <w:rPr>
          <w:rFonts w:ascii="Arial" w:hAnsi="Arial" w:cs="Arial"/>
        </w:rPr>
        <w:t xml:space="preserve">Compete a esta Comissão proceder à análise da matéria sob os aspectos </w:t>
      </w:r>
      <w:r w:rsidRPr="00CC2936">
        <w:rPr>
          <w:rFonts w:ascii="Arial" w:hAnsi="Arial" w:cs="Arial"/>
          <w:b/>
          <w:bCs/>
        </w:rPr>
        <w:t>constitucional, legal, jurídico e de técnica legislativa</w:t>
      </w:r>
      <w:r w:rsidRPr="00CC2936">
        <w:rPr>
          <w:rFonts w:ascii="Arial" w:hAnsi="Arial" w:cs="Arial"/>
        </w:rPr>
        <w:t>, sem adentrar no mérito administrativo das políticas públicas que poderão ser implementadas pelo Poder Executivo.</w:t>
      </w:r>
    </w:p>
    <w:p w14:paraId="14A3B327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CC2936">
        <w:rPr>
          <w:rFonts w:ascii="Arial" w:hAnsi="Arial" w:cs="Arial"/>
        </w:rPr>
        <w:t>É o relatório.</w:t>
      </w:r>
    </w:p>
    <w:p w14:paraId="0ACF9902" w14:textId="28A6AB8B" w:rsid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II – FUNDAMENTAÇÃO JURÍDICA </w:t>
      </w:r>
    </w:p>
    <w:p w14:paraId="34DDB6F4" w14:textId="77777777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>1. Da Competência Legislativa do Município</w:t>
      </w:r>
    </w:p>
    <w:p w14:paraId="3433D60C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A Constituição da República estabelece, em seu </w:t>
      </w:r>
      <w:r w:rsidRPr="00CC2936">
        <w:rPr>
          <w:rFonts w:ascii="Arial" w:hAnsi="Arial" w:cs="Arial"/>
          <w:b/>
          <w:bCs/>
          <w:sz w:val="24"/>
          <w:szCs w:val="24"/>
        </w:rPr>
        <w:t>art. 30, inciso I</w:t>
      </w:r>
      <w:r w:rsidRPr="00CC2936">
        <w:rPr>
          <w:rFonts w:ascii="Arial" w:hAnsi="Arial" w:cs="Arial"/>
          <w:sz w:val="24"/>
          <w:szCs w:val="24"/>
        </w:rPr>
        <w:t>, que compete aos Municípios legislar sobre assuntos de interesse local.</w:t>
      </w:r>
    </w:p>
    <w:p w14:paraId="43A76207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Ainda nos termos do </w:t>
      </w:r>
      <w:r w:rsidRPr="00CC2936">
        <w:rPr>
          <w:rFonts w:ascii="Arial" w:hAnsi="Arial" w:cs="Arial"/>
          <w:b/>
          <w:bCs/>
          <w:sz w:val="24"/>
          <w:szCs w:val="24"/>
        </w:rPr>
        <w:t>art. 30, inciso II, da Constituição Federal</w:t>
      </w:r>
      <w:r w:rsidRPr="00CC2936">
        <w:rPr>
          <w:rFonts w:ascii="Arial" w:hAnsi="Arial" w:cs="Arial"/>
          <w:sz w:val="24"/>
          <w:szCs w:val="24"/>
        </w:rPr>
        <w:t>, cabe aos Municípios suplementar a legislação federal e estadual no que couber, especialmente no que se refere à organização administrativa e à gestão de bens públicos municipais.</w:t>
      </w:r>
    </w:p>
    <w:p w14:paraId="07686DF4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No caso em análise, o </w:t>
      </w:r>
      <w:r w:rsidRPr="00CC2936">
        <w:rPr>
          <w:rFonts w:ascii="Arial" w:hAnsi="Arial" w:cs="Arial"/>
          <w:b/>
          <w:bCs/>
          <w:sz w:val="24"/>
          <w:szCs w:val="24"/>
        </w:rPr>
        <w:t>Projeto de Lei nº 07/2026</w:t>
      </w:r>
      <w:r w:rsidRPr="00CC2936">
        <w:rPr>
          <w:rFonts w:ascii="Arial" w:hAnsi="Arial" w:cs="Arial"/>
          <w:sz w:val="24"/>
          <w:szCs w:val="24"/>
        </w:rPr>
        <w:t xml:space="preserve"> trata da definição de critérios para cessão de uso de bens pertencentes ao patrimônio público municipal, matéria diretamente relacionada à </w:t>
      </w:r>
      <w:r w:rsidRPr="00CC2936">
        <w:rPr>
          <w:rFonts w:ascii="Arial" w:hAnsi="Arial" w:cs="Arial"/>
          <w:b/>
          <w:bCs/>
          <w:sz w:val="24"/>
          <w:szCs w:val="24"/>
        </w:rPr>
        <w:t>administração e gestão do patrimônio público do Município</w:t>
      </w:r>
      <w:r w:rsidRPr="00CC2936">
        <w:rPr>
          <w:rFonts w:ascii="Arial" w:hAnsi="Arial" w:cs="Arial"/>
          <w:sz w:val="24"/>
          <w:szCs w:val="24"/>
        </w:rPr>
        <w:t>.</w:t>
      </w:r>
    </w:p>
    <w:p w14:paraId="4C4EE116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Dessa forma, verifica-se que a proposição </w:t>
      </w:r>
      <w:proofErr w:type="gramStart"/>
      <w:r w:rsidRPr="00CC2936">
        <w:rPr>
          <w:rFonts w:ascii="Arial" w:hAnsi="Arial" w:cs="Arial"/>
          <w:sz w:val="24"/>
          <w:szCs w:val="24"/>
        </w:rPr>
        <w:t>encontra-se</w:t>
      </w:r>
      <w:proofErr w:type="gramEnd"/>
      <w:r w:rsidRPr="00CC2936">
        <w:rPr>
          <w:rFonts w:ascii="Arial" w:hAnsi="Arial" w:cs="Arial"/>
          <w:sz w:val="24"/>
          <w:szCs w:val="24"/>
        </w:rPr>
        <w:t xml:space="preserve"> inserida no âmbito da </w:t>
      </w:r>
      <w:r w:rsidRPr="00CC2936">
        <w:rPr>
          <w:rFonts w:ascii="Arial" w:hAnsi="Arial" w:cs="Arial"/>
          <w:b/>
          <w:bCs/>
          <w:sz w:val="24"/>
          <w:szCs w:val="24"/>
        </w:rPr>
        <w:t>competência legislativa municipal</w:t>
      </w:r>
      <w:r w:rsidRPr="00CC2936">
        <w:rPr>
          <w:rFonts w:ascii="Arial" w:hAnsi="Arial" w:cs="Arial"/>
          <w:sz w:val="24"/>
          <w:szCs w:val="24"/>
        </w:rPr>
        <w:t>, não havendo afronta ao ordenamento constitucional.</w:t>
      </w:r>
    </w:p>
    <w:p w14:paraId="61D805DD" w14:textId="558D9028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2. </w:t>
      </w:r>
      <w:r w:rsidR="00CC2936" w:rsidRPr="00CC2936">
        <w:rPr>
          <w:rFonts w:ascii="Arial" w:hAnsi="Arial" w:cs="Arial"/>
          <w:b/>
          <w:bCs/>
          <w:sz w:val="24"/>
          <w:szCs w:val="24"/>
        </w:rPr>
        <w:t>Da Compatibilidade com os Princípios da Administração Pública</w:t>
      </w:r>
    </w:p>
    <w:p w14:paraId="208FC4C5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lastRenderedPageBreak/>
        <w:t xml:space="preserve">A Constituição Federal estabelece, em seu </w:t>
      </w:r>
      <w:r w:rsidRPr="00CC2936">
        <w:rPr>
          <w:rFonts w:ascii="Arial" w:hAnsi="Arial" w:cs="Arial"/>
          <w:b/>
          <w:bCs/>
          <w:sz w:val="24"/>
          <w:szCs w:val="24"/>
        </w:rPr>
        <w:t>art. 37</w:t>
      </w:r>
      <w:r w:rsidRPr="00CC2936">
        <w:rPr>
          <w:rFonts w:ascii="Arial" w:hAnsi="Arial" w:cs="Arial"/>
          <w:sz w:val="24"/>
          <w:szCs w:val="24"/>
        </w:rPr>
        <w:t xml:space="preserve">, que a Administração Pública deve obedecer aos princípios da </w:t>
      </w:r>
      <w:r w:rsidRPr="00CC2936">
        <w:rPr>
          <w:rFonts w:ascii="Arial" w:hAnsi="Arial" w:cs="Arial"/>
          <w:b/>
          <w:bCs/>
          <w:sz w:val="24"/>
          <w:szCs w:val="24"/>
        </w:rPr>
        <w:t>legalidade, impessoalidade, moralidade, publicidade e eficiência</w:t>
      </w:r>
      <w:r w:rsidRPr="00CC2936">
        <w:rPr>
          <w:rFonts w:ascii="Arial" w:hAnsi="Arial" w:cs="Arial"/>
          <w:sz w:val="24"/>
          <w:szCs w:val="24"/>
        </w:rPr>
        <w:t>.</w:t>
      </w:r>
    </w:p>
    <w:p w14:paraId="467C7176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O projeto em análise busca justamente </w:t>
      </w:r>
      <w:r w:rsidRPr="00CC2936">
        <w:rPr>
          <w:rFonts w:ascii="Arial" w:hAnsi="Arial" w:cs="Arial"/>
          <w:b/>
          <w:bCs/>
          <w:sz w:val="24"/>
          <w:szCs w:val="24"/>
        </w:rPr>
        <w:t>disciplinar procedimentos administrativos transparentes e impessoais</w:t>
      </w:r>
      <w:r w:rsidRPr="00CC2936">
        <w:rPr>
          <w:rFonts w:ascii="Arial" w:hAnsi="Arial" w:cs="Arial"/>
          <w:sz w:val="24"/>
          <w:szCs w:val="24"/>
        </w:rPr>
        <w:t xml:space="preserve"> para a cessão de uso de bens públicos, especialmente nos casos em que haja </w:t>
      </w:r>
      <w:r w:rsidRPr="00CC2936">
        <w:rPr>
          <w:rFonts w:ascii="Arial" w:hAnsi="Arial" w:cs="Arial"/>
          <w:b/>
          <w:bCs/>
          <w:sz w:val="24"/>
          <w:szCs w:val="24"/>
        </w:rPr>
        <w:t>pluralidade de interessados</w:t>
      </w:r>
      <w:r w:rsidRPr="00CC2936">
        <w:rPr>
          <w:rFonts w:ascii="Arial" w:hAnsi="Arial" w:cs="Arial"/>
          <w:sz w:val="24"/>
          <w:szCs w:val="24"/>
        </w:rPr>
        <w:t>, adotando o sorteio público como forma de garantir igualdade de condições entre os participantes.</w:t>
      </w:r>
    </w:p>
    <w:p w14:paraId="2F19A90A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Tal mecanismo contribui para </w:t>
      </w:r>
      <w:r w:rsidRPr="00CC2936">
        <w:rPr>
          <w:rFonts w:ascii="Arial" w:hAnsi="Arial" w:cs="Arial"/>
          <w:b/>
          <w:bCs/>
          <w:sz w:val="24"/>
          <w:szCs w:val="24"/>
        </w:rPr>
        <w:t>evitar favorecimentos indevidos, assegurar tratamento isonômico entre os interessados e ampliar a transparência administrativa</w:t>
      </w:r>
      <w:r w:rsidRPr="00CC2936">
        <w:rPr>
          <w:rFonts w:ascii="Arial" w:hAnsi="Arial" w:cs="Arial"/>
          <w:sz w:val="24"/>
          <w:szCs w:val="24"/>
        </w:rPr>
        <w:t>, estando plenamente alinhado aos princípios constitucionais que regem a Administração Pública.</w:t>
      </w:r>
    </w:p>
    <w:p w14:paraId="4C1AE9C6" w14:textId="09D4B68B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 xml:space="preserve">3. </w:t>
      </w:r>
      <w:r w:rsidR="00CC2936" w:rsidRPr="00CC2936">
        <w:rPr>
          <w:rFonts w:ascii="Arial" w:hAnsi="Arial" w:cs="Arial"/>
          <w:b/>
          <w:bCs/>
          <w:sz w:val="24"/>
          <w:szCs w:val="24"/>
        </w:rPr>
        <w:t>Da Gestão do Patrimônio Público</w:t>
      </w:r>
    </w:p>
    <w:p w14:paraId="7C730462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>A cessão de uso de bens públicos constitui instrumento legítimo de gestão administrativa, utilizado pelo Poder Público para permitir que determinados bens sejam utilizados por particulares ou entidades quando presente o interesse público.</w:t>
      </w:r>
    </w:p>
    <w:p w14:paraId="637C1604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Nesse contexto, a definição de </w:t>
      </w:r>
      <w:r w:rsidRPr="00CC2936">
        <w:rPr>
          <w:rFonts w:ascii="Arial" w:hAnsi="Arial" w:cs="Arial"/>
          <w:b/>
          <w:bCs/>
          <w:sz w:val="24"/>
          <w:szCs w:val="24"/>
        </w:rPr>
        <w:t>critérios objetivos e procedimentos transparentes para a seleção dos interessados</w:t>
      </w:r>
      <w:r w:rsidRPr="00CC2936">
        <w:rPr>
          <w:rFonts w:ascii="Arial" w:hAnsi="Arial" w:cs="Arial"/>
          <w:sz w:val="24"/>
          <w:szCs w:val="24"/>
        </w:rPr>
        <w:t xml:space="preserve"> contribui para o fortalecimento da governança pública e para o adequado controle da utilização dos bens pertencentes ao Município.</w:t>
      </w:r>
    </w:p>
    <w:p w14:paraId="2A657F61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A previsão de </w:t>
      </w:r>
      <w:r w:rsidRPr="00CC2936">
        <w:rPr>
          <w:rFonts w:ascii="Arial" w:hAnsi="Arial" w:cs="Arial"/>
          <w:b/>
          <w:bCs/>
          <w:sz w:val="24"/>
          <w:szCs w:val="24"/>
        </w:rPr>
        <w:t>realização de edital público, sorteio em sessão aberta, registro em ata e divulgação dos resultados</w:t>
      </w:r>
      <w:r w:rsidRPr="00CC2936">
        <w:rPr>
          <w:rFonts w:ascii="Arial" w:hAnsi="Arial" w:cs="Arial"/>
          <w:sz w:val="24"/>
          <w:szCs w:val="24"/>
        </w:rPr>
        <w:t xml:space="preserve"> fortalece os mecanismos de controle social e publicidade dos atos administrativos.</w:t>
      </w:r>
    </w:p>
    <w:p w14:paraId="311B3C98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4. Da Conformidade com a Lei Orgânica do Município</w:t>
      </w:r>
    </w:p>
    <w:p w14:paraId="01F6A1A7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A </w:t>
      </w:r>
      <w:r w:rsidRPr="00CC2936">
        <w:rPr>
          <w:rFonts w:ascii="Arial" w:hAnsi="Arial" w:cs="Arial"/>
          <w:b/>
          <w:bCs/>
          <w:sz w:val="24"/>
          <w:szCs w:val="24"/>
        </w:rPr>
        <w:t>Lei Orgânica do Município de Acrelândia</w:t>
      </w:r>
      <w:r w:rsidRPr="00CC2936">
        <w:rPr>
          <w:rFonts w:ascii="Arial" w:hAnsi="Arial" w:cs="Arial"/>
          <w:sz w:val="24"/>
          <w:szCs w:val="24"/>
        </w:rPr>
        <w:t xml:space="preserve"> estabelece que compete ao Poder Legislativo municipal legislar sobre matérias de interesse local, bem como fiscalizar e normatizar aspectos relacionados à administração do patrimônio público municipal.</w:t>
      </w:r>
    </w:p>
    <w:p w14:paraId="6DA42801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lastRenderedPageBreak/>
        <w:t xml:space="preserve">Nesse sentido, a presente proposição encontra-se </w:t>
      </w:r>
      <w:r w:rsidRPr="00CC2936">
        <w:rPr>
          <w:rFonts w:ascii="Arial" w:hAnsi="Arial" w:cs="Arial"/>
          <w:b/>
          <w:bCs/>
          <w:sz w:val="24"/>
          <w:szCs w:val="24"/>
        </w:rPr>
        <w:t>em consonância com as disposições da Lei Orgânica Municipal</w:t>
      </w:r>
      <w:r w:rsidRPr="00CC2936">
        <w:rPr>
          <w:rFonts w:ascii="Arial" w:hAnsi="Arial" w:cs="Arial"/>
          <w:sz w:val="24"/>
          <w:szCs w:val="24"/>
        </w:rPr>
        <w:t>, não sendo identificada qualquer incompatibilidade normativa.</w:t>
      </w:r>
    </w:p>
    <w:p w14:paraId="6AA04FAB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5. Da Técnica Legislativa</w:t>
      </w:r>
    </w:p>
    <w:p w14:paraId="231D41DE" w14:textId="0E2A98AF" w:rsidR="006C09E3" w:rsidRPr="006C09E3" w:rsidRDefault="00CC2936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Quanto à técnica legislativa, observa-se que o </w:t>
      </w:r>
      <w:r w:rsidRPr="00CC2936">
        <w:rPr>
          <w:rFonts w:ascii="Arial" w:hAnsi="Arial" w:cs="Arial"/>
          <w:b/>
          <w:bCs/>
          <w:sz w:val="24"/>
          <w:szCs w:val="24"/>
        </w:rPr>
        <w:t>Projeto de Lei nº 07/2026</w:t>
      </w:r>
      <w:r w:rsidRPr="00CC2936">
        <w:rPr>
          <w:rFonts w:ascii="Arial" w:hAnsi="Arial" w:cs="Arial"/>
          <w:sz w:val="24"/>
          <w:szCs w:val="24"/>
        </w:rPr>
        <w:t xml:space="preserve"> encontra-se estruturado de forma adequada, observando os parâmetros estabelecidos pela </w:t>
      </w:r>
      <w:r w:rsidRPr="00CC2936">
        <w:rPr>
          <w:rFonts w:ascii="Arial" w:hAnsi="Arial" w:cs="Arial"/>
          <w:b/>
          <w:bCs/>
          <w:sz w:val="24"/>
          <w:szCs w:val="24"/>
        </w:rPr>
        <w:t>Lei Complementar nº 95, de 26 de fevereiro de 1998</w:t>
      </w:r>
      <w:r w:rsidRPr="00CC2936">
        <w:rPr>
          <w:rFonts w:ascii="Arial" w:hAnsi="Arial" w:cs="Arial"/>
          <w:sz w:val="24"/>
          <w:szCs w:val="24"/>
        </w:rPr>
        <w:t>, que dispõe sobre a elaboração, redação e consolidação das leis.</w:t>
      </w:r>
    </w:p>
    <w:p w14:paraId="3474A6F5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A proposição apresenta:</w:t>
      </w:r>
    </w:p>
    <w:p w14:paraId="7A35DF84" w14:textId="77777777" w:rsidR="006C09E3" w:rsidRPr="006C09E3" w:rsidRDefault="006C09E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redação clara e objetiva;</w:t>
      </w:r>
    </w:p>
    <w:p w14:paraId="7FCCB4F9" w14:textId="019CEB60" w:rsidR="006C09E3" w:rsidRPr="006C09E3" w:rsidRDefault="00CC2936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>organização lógica dos dispositivos legais</w:t>
      </w:r>
      <w:r w:rsidR="006C09E3" w:rsidRPr="006C09E3">
        <w:rPr>
          <w:rFonts w:ascii="Arial" w:hAnsi="Arial" w:cs="Arial"/>
          <w:sz w:val="24"/>
          <w:szCs w:val="24"/>
        </w:rPr>
        <w:t>;</w:t>
      </w:r>
    </w:p>
    <w:p w14:paraId="6B47B58E" w14:textId="6AC23CEF" w:rsidR="006C09E3" w:rsidRPr="006C09E3" w:rsidRDefault="00CC2936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>definição precisa das regras administrativas</w:t>
      </w:r>
      <w:r w:rsidR="006C09E3" w:rsidRPr="006C09E3">
        <w:rPr>
          <w:rFonts w:ascii="Arial" w:hAnsi="Arial" w:cs="Arial"/>
          <w:sz w:val="24"/>
          <w:szCs w:val="24"/>
        </w:rPr>
        <w:t>;</w:t>
      </w:r>
    </w:p>
    <w:p w14:paraId="390D0797" w14:textId="316E2260" w:rsidR="006C09E3" w:rsidRPr="006C09E3" w:rsidRDefault="00CC2936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>compatibilidade com o sistema jurídico vigente</w:t>
      </w:r>
      <w:r w:rsidR="006C09E3" w:rsidRPr="006C09E3">
        <w:rPr>
          <w:rFonts w:ascii="Arial" w:hAnsi="Arial" w:cs="Arial"/>
          <w:sz w:val="24"/>
          <w:szCs w:val="24"/>
        </w:rPr>
        <w:t>.</w:t>
      </w:r>
    </w:p>
    <w:p w14:paraId="43E90133" w14:textId="40BC2A30" w:rsidR="006C09E3" w:rsidRPr="006C09E3" w:rsidRDefault="00CC2936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>Não foram identificados vícios formais ou de redação que impeçam sua regular tramitação no processo legislativo.</w:t>
      </w:r>
    </w:p>
    <w:p w14:paraId="63204873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III – VOTO DO RELATOR</w:t>
      </w:r>
    </w:p>
    <w:p w14:paraId="688849C1" w14:textId="77964E9D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Diante da análise realizada, constata-se que o Projeto de Lei nº 0</w:t>
      </w:r>
      <w:r w:rsidR="00CC2936">
        <w:rPr>
          <w:rFonts w:ascii="Arial" w:hAnsi="Arial" w:cs="Arial"/>
          <w:sz w:val="24"/>
          <w:szCs w:val="24"/>
        </w:rPr>
        <w:t>7</w:t>
      </w:r>
      <w:r w:rsidRPr="006C09E3">
        <w:rPr>
          <w:rFonts w:ascii="Arial" w:hAnsi="Arial" w:cs="Arial"/>
          <w:sz w:val="24"/>
          <w:szCs w:val="24"/>
        </w:rPr>
        <w:t>/2026:</w:t>
      </w:r>
    </w:p>
    <w:p w14:paraId="1A6555A9" w14:textId="53ED2CD5" w:rsidR="00EE334D" w:rsidRDefault="00CC2936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encontra-se em conformidade com a </w:t>
      </w:r>
      <w:r w:rsidRPr="00CC2936">
        <w:rPr>
          <w:rFonts w:ascii="Arial" w:hAnsi="Arial" w:cs="Arial"/>
          <w:b/>
          <w:bCs/>
          <w:sz w:val="24"/>
          <w:szCs w:val="24"/>
        </w:rPr>
        <w:t>Constituição Federal</w:t>
      </w:r>
      <w:r w:rsidRPr="00CC2936">
        <w:rPr>
          <w:rFonts w:ascii="Arial" w:hAnsi="Arial" w:cs="Arial"/>
          <w:sz w:val="24"/>
          <w:szCs w:val="24"/>
        </w:rPr>
        <w:t xml:space="preserve">, especialmente com o </w:t>
      </w:r>
      <w:r w:rsidRPr="00CC2936">
        <w:rPr>
          <w:rFonts w:ascii="Arial" w:hAnsi="Arial" w:cs="Arial"/>
          <w:b/>
          <w:bCs/>
          <w:sz w:val="24"/>
          <w:szCs w:val="24"/>
        </w:rPr>
        <w:t>art. 30</w:t>
      </w:r>
      <w:r w:rsidRPr="00CC2936">
        <w:rPr>
          <w:rFonts w:ascii="Arial" w:hAnsi="Arial" w:cs="Arial"/>
          <w:sz w:val="24"/>
          <w:szCs w:val="24"/>
        </w:rPr>
        <w:t>, que trata da competência legislativa municipal</w:t>
      </w:r>
      <w:r w:rsidR="00EE334D" w:rsidRPr="00EE334D">
        <w:rPr>
          <w:rFonts w:ascii="Arial" w:hAnsi="Arial" w:cs="Arial"/>
          <w:sz w:val="24"/>
          <w:szCs w:val="24"/>
        </w:rPr>
        <w:t>;</w:t>
      </w:r>
    </w:p>
    <w:p w14:paraId="64B33DCF" w14:textId="77735CA0" w:rsidR="00EE334D" w:rsidRDefault="00CC2936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respeita os </w:t>
      </w:r>
      <w:r w:rsidRPr="00CC2936">
        <w:rPr>
          <w:rFonts w:ascii="Arial" w:hAnsi="Arial" w:cs="Arial"/>
          <w:b/>
          <w:bCs/>
          <w:sz w:val="24"/>
          <w:szCs w:val="24"/>
        </w:rPr>
        <w:t>princípios da Administração Pública previstos no art. 37 da Constituição Federal</w:t>
      </w:r>
      <w:r w:rsidR="00EE334D" w:rsidRPr="00EE334D">
        <w:rPr>
          <w:rFonts w:ascii="Arial" w:hAnsi="Arial" w:cs="Arial"/>
          <w:sz w:val="24"/>
          <w:szCs w:val="24"/>
        </w:rPr>
        <w:t>;</w:t>
      </w:r>
    </w:p>
    <w:p w14:paraId="42AD1F98" w14:textId="296B7E95" w:rsidR="00EE334D" w:rsidRDefault="00CC2936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está em consonância com a </w:t>
      </w:r>
      <w:r w:rsidRPr="00CC2936">
        <w:rPr>
          <w:rFonts w:ascii="Arial" w:hAnsi="Arial" w:cs="Arial"/>
          <w:b/>
          <w:bCs/>
          <w:sz w:val="24"/>
          <w:szCs w:val="24"/>
        </w:rPr>
        <w:t>Lei Orgânica do Município de Acrelândia</w:t>
      </w:r>
      <w:r w:rsidR="00EE334D" w:rsidRPr="00EE334D">
        <w:rPr>
          <w:rFonts w:ascii="Arial" w:hAnsi="Arial" w:cs="Arial"/>
          <w:sz w:val="24"/>
          <w:szCs w:val="24"/>
        </w:rPr>
        <w:t>;</w:t>
      </w:r>
    </w:p>
    <w:p w14:paraId="4B443DEB" w14:textId="7E907D94" w:rsidR="00EE334D" w:rsidRDefault="00CC2936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estabelece mecanismos de </w:t>
      </w:r>
      <w:r w:rsidRPr="00CC2936">
        <w:rPr>
          <w:rFonts w:ascii="Arial" w:hAnsi="Arial" w:cs="Arial"/>
          <w:b/>
          <w:bCs/>
          <w:sz w:val="24"/>
          <w:szCs w:val="24"/>
        </w:rPr>
        <w:t>transparência, impessoalidade e igualdade de oportunidades</w:t>
      </w:r>
      <w:r w:rsidRPr="00CC2936">
        <w:rPr>
          <w:rFonts w:ascii="Arial" w:hAnsi="Arial" w:cs="Arial"/>
          <w:sz w:val="24"/>
          <w:szCs w:val="24"/>
        </w:rPr>
        <w:t xml:space="preserve"> na cessão de bens públicos</w:t>
      </w:r>
      <w:r w:rsidR="00EE334D" w:rsidRPr="00EE334D">
        <w:rPr>
          <w:rFonts w:ascii="Arial" w:hAnsi="Arial" w:cs="Arial"/>
          <w:sz w:val="24"/>
          <w:szCs w:val="24"/>
        </w:rPr>
        <w:t>;</w:t>
      </w:r>
    </w:p>
    <w:p w14:paraId="00D75F20" w14:textId="37CCEA46" w:rsidR="006C09E3" w:rsidRPr="006C09E3" w:rsidRDefault="00EE334D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observa os critérios de </w:t>
      </w:r>
      <w:r w:rsidRPr="00CC2936">
        <w:rPr>
          <w:rFonts w:ascii="Arial" w:hAnsi="Arial" w:cs="Arial"/>
          <w:b/>
          <w:bCs/>
          <w:sz w:val="24"/>
          <w:szCs w:val="24"/>
        </w:rPr>
        <w:t>legalidade, juridicidade e técnica legislativa</w:t>
      </w:r>
      <w:r w:rsidRPr="00EE334D">
        <w:rPr>
          <w:rFonts w:ascii="Arial" w:hAnsi="Arial" w:cs="Arial"/>
          <w:sz w:val="24"/>
          <w:szCs w:val="24"/>
        </w:rPr>
        <w:t>.</w:t>
      </w:r>
    </w:p>
    <w:p w14:paraId="616905B2" w14:textId="2CFC894B" w:rsidR="006C09E3" w:rsidRDefault="00EE334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Assim, </w:t>
      </w:r>
      <w:r w:rsidRPr="00EE334D">
        <w:rPr>
          <w:rFonts w:ascii="Arial" w:hAnsi="Arial" w:cs="Arial"/>
          <w:b/>
          <w:bCs/>
          <w:sz w:val="24"/>
          <w:szCs w:val="24"/>
        </w:rPr>
        <w:t>não se verificam óbices constitucionais, legais ou regimentais à sua tramitação.</w:t>
      </w:r>
    </w:p>
    <w:p w14:paraId="447020FB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lastRenderedPageBreak/>
        <w:t>IV – CONCLUSÃO</w:t>
      </w:r>
    </w:p>
    <w:p w14:paraId="2DC82EFF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Ante o exposto, esta </w:t>
      </w:r>
      <w:r w:rsidRPr="00CC2936">
        <w:rPr>
          <w:rFonts w:ascii="Arial" w:hAnsi="Arial" w:cs="Arial"/>
          <w:b/>
          <w:bCs/>
          <w:sz w:val="24"/>
          <w:szCs w:val="24"/>
        </w:rPr>
        <w:t>Comissão de Legislação, Justiça e Redação Final</w:t>
      </w:r>
      <w:r w:rsidRPr="00CC2936">
        <w:rPr>
          <w:rFonts w:ascii="Arial" w:hAnsi="Arial" w:cs="Arial"/>
          <w:sz w:val="24"/>
          <w:szCs w:val="24"/>
        </w:rPr>
        <w:t xml:space="preserve"> manifesta-se pela </w:t>
      </w:r>
      <w:r w:rsidRPr="00CC2936">
        <w:rPr>
          <w:rFonts w:ascii="Arial" w:hAnsi="Arial" w:cs="Arial"/>
          <w:b/>
          <w:bCs/>
          <w:sz w:val="24"/>
          <w:szCs w:val="24"/>
        </w:rPr>
        <w:t>constitucionalidade, legalidade, juridicidade e adequada técnica legislativa do Projeto de Lei nº 07/2026</w:t>
      </w:r>
      <w:r w:rsidRPr="00CC2936">
        <w:rPr>
          <w:rFonts w:ascii="Arial" w:hAnsi="Arial" w:cs="Arial"/>
          <w:sz w:val="24"/>
          <w:szCs w:val="24"/>
        </w:rPr>
        <w:t>.</w:t>
      </w:r>
    </w:p>
    <w:p w14:paraId="73BFA641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No mérito, entende-se que a iniciativa contribui para o </w:t>
      </w:r>
      <w:r w:rsidRPr="00CC2936">
        <w:rPr>
          <w:rFonts w:ascii="Arial" w:hAnsi="Arial" w:cs="Arial"/>
          <w:b/>
          <w:bCs/>
          <w:sz w:val="24"/>
          <w:szCs w:val="24"/>
        </w:rPr>
        <w:t>fortalecimento da transparência administrativa, da impessoalidade na gestão do patrimônio público municipal e da igualdade de oportunidades no acesso à cessão de bens públicos</w:t>
      </w:r>
      <w:r w:rsidRPr="00CC2936">
        <w:rPr>
          <w:rFonts w:ascii="Arial" w:hAnsi="Arial" w:cs="Arial"/>
          <w:sz w:val="24"/>
          <w:szCs w:val="24"/>
        </w:rPr>
        <w:t>.</w:t>
      </w:r>
    </w:p>
    <w:p w14:paraId="1A59FF9B" w14:textId="77777777" w:rsidR="00CC2936" w:rsidRPr="00CC2936" w:rsidRDefault="00CC2936" w:rsidP="00CC2936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Dessa forma, esta Comissão vota pela </w:t>
      </w:r>
      <w:r w:rsidRPr="00CC2936">
        <w:rPr>
          <w:rFonts w:ascii="Arial" w:hAnsi="Arial" w:cs="Arial"/>
          <w:b/>
          <w:bCs/>
          <w:sz w:val="24"/>
          <w:szCs w:val="24"/>
        </w:rPr>
        <w:t>APROVAÇÃO do Projeto de Lei nº 07/2026</w:t>
      </w:r>
      <w:r w:rsidRPr="00CC2936">
        <w:rPr>
          <w:rFonts w:ascii="Arial" w:hAnsi="Arial" w:cs="Arial"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5195E6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</w:t>
      </w:r>
      <w:r w:rsidR="006C09E3">
        <w:rPr>
          <w:rFonts w:ascii="Arial" w:hAnsi="Arial" w:cs="Arial"/>
          <w:sz w:val="24"/>
          <w:szCs w:val="24"/>
        </w:rPr>
        <w:t>2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C09E3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6C09E3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01582" w14:textId="77777777" w:rsidR="00534364" w:rsidRDefault="00534364" w:rsidP="008B1D5A">
      <w:r>
        <w:separator/>
      </w:r>
    </w:p>
  </w:endnote>
  <w:endnote w:type="continuationSeparator" w:id="0">
    <w:p w14:paraId="6E8A6A13" w14:textId="77777777" w:rsidR="00534364" w:rsidRDefault="0053436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92458" w14:textId="77777777" w:rsidR="00534364" w:rsidRDefault="00534364" w:rsidP="008B1D5A">
      <w:r>
        <w:separator/>
      </w:r>
    </w:p>
  </w:footnote>
  <w:footnote w:type="continuationSeparator" w:id="0">
    <w:p w14:paraId="38EDD4E5" w14:textId="77777777" w:rsidR="00534364" w:rsidRDefault="0053436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48"/>
    <w:multiLevelType w:val="multilevel"/>
    <w:tmpl w:val="A5E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B76B1"/>
    <w:multiLevelType w:val="multilevel"/>
    <w:tmpl w:val="832C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45402"/>
    <w:multiLevelType w:val="multilevel"/>
    <w:tmpl w:val="1082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22A48"/>
    <w:multiLevelType w:val="multilevel"/>
    <w:tmpl w:val="9DFE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307778">
    <w:abstractNumId w:val="0"/>
  </w:num>
  <w:num w:numId="2" w16cid:durableId="2082214656">
    <w:abstractNumId w:val="2"/>
  </w:num>
  <w:num w:numId="3" w16cid:durableId="478688941">
    <w:abstractNumId w:val="1"/>
  </w:num>
  <w:num w:numId="4" w16cid:durableId="477116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D671D"/>
    <w:rsid w:val="000E530E"/>
    <w:rsid w:val="001172F1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41F05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34364"/>
    <w:rsid w:val="00542A90"/>
    <w:rsid w:val="0055293C"/>
    <w:rsid w:val="0056061F"/>
    <w:rsid w:val="005718ED"/>
    <w:rsid w:val="005A6B26"/>
    <w:rsid w:val="005B6EB6"/>
    <w:rsid w:val="005D48AB"/>
    <w:rsid w:val="005F42CA"/>
    <w:rsid w:val="005F7FBE"/>
    <w:rsid w:val="0060649F"/>
    <w:rsid w:val="00607825"/>
    <w:rsid w:val="00620C24"/>
    <w:rsid w:val="00631604"/>
    <w:rsid w:val="00637067"/>
    <w:rsid w:val="00683BB2"/>
    <w:rsid w:val="006C09E3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42B31"/>
    <w:rsid w:val="00C93066"/>
    <w:rsid w:val="00CB5840"/>
    <w:rsid w:val="00CC02F9"/>
    <w:rsid w:val="00CC2936"/>
    <w:rsid w:val="00CE3F81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EE334D"/>
    <w:rsid w:val="00F3730E"/>
    <w:rsid w:val="00F37D2C"/>
    <w:rsid w:val="00F41C97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1180</Words>
  <Characters>6376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2026-03-13T17:34:00Z</cp:lastPrinted>
  <dcterms:created xsi:type="dcterms:W3CDTF">2026-03-13T17:36:00Z</dcterms:created>
  <dcterms:modified xsi:type="dcterms:W3CDTF">2026-03-13T17:36:00Z</dcterms:modified>
</cp:coreProperties>
</file>