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3D71" w:rsidRPr="00BE4FF3" w:rsidRDefault="004A3D71" w:rsidP="004A3D71">
      <w:pPr>
        <w:pStyle w:val="SemEspaamento"/>
        <w:jc w:val="center"/>
        <w:rPr>
          <w:rFonts w:ascii="Times New Roman" w:hAnsi="Times New Roman"/>
          <w:sz w:val="24"/>
          <w:szCs w:val="24"/>
        </w:rPr>
      </w:pPr>
      <w:r w:rsidRPr="00BE4FF3">
        <w:rPr>
          <w:rFonts w:ascii="Times New Roman" w:hAnsi="Times New Roman"/>
          <w:sz w:val="24"/>
          <w:szCs w:val="24"/>
        </w:rPr>
        <w:t>SEGUNDO PERÍODO LEGISLATIVO DE 2014</w:t>
      </w:r>
    </w:p>
    <w:p w:rsidR="004A3D71" w:rsidRPr="00BE4FF3" w:rsidRDefault="004A3D71" w:rsidP="004A3D71">
      <w:pPr>
        <w:pStyle w:val="SemEspaamento"/>
        <w:jc w:val="center"/>
        <w:rPr>
          <w:rFonts w:ascii="Times New Roman" w:hAnsi="Times New Roman"/>
          <w:b/>
          <w:sz w:val="24"/>
          <w:szCs w:val="24"/>
        </w:rPr>
      </w:pPr>
    </w:p>
    <w:p w:rsidR="0006735C" w:rsidRPr="00BE4FF3" w:rsidRDefault="003765B9" w:rsidP="00B57D64">
      <w:pPr>
        <w:pStyle w:val="SemEspaamento"/>
        <w:jc w:val="both"/>
        <w:rPr>
          <w:rFonts w:ascii="Times New Roman" w:hAnsi="Times New Roman"/>
          <w:sz w:val="24"/>
          <w:szCs w:val="24"/>
        </w:rPr>
      </w:pPr>
      <w:r w:rsidRPr="00C870E1">
        <w:rPr>
          <w:rFonts w:ascii="Times New Roman" w:hAnsi="Times New Roman"/>
          <w:b/>
          <w:sz w:val="24"/>
          <w:szCs w:val="24"/>
        </w:rPr>
        <w:t>4</w:t>
      </w:r>
      <w:r w:rsidR="001D684A">
        <w:rPr>
          <w:rFonts w:ascii="Times New Roman" w:hAnsi="Times New Roman"/>
          <w:b/>
          <w:sz w:val="24"/>
          <w:szCs w:val="24"/>
        </w:rPr>
        <w:t>2</w:t>
      </w:r>
      <w:r w:rsidR="0006735C" w:rsidRPr="00C870E1">
        <w:rPr>
          <w:rFonts w:ascii="Times New Roman" w:hAnsi="Times New Roman"/>
          <w:b/>
          <w:sz w:val="24"/>
          <w:szCs w:val="24"/>
        </w:rPr>
        <w:t>ª SESSÃO LEGISLATIVA ORDINÁRIA DE</w:t>
      </w:r>
      <w:r w:rsidR="001D684A">
        <w:rPr>
          <w:rFonts w:ascii="Times New Roman" w:hAnsi="Times New Roman"/>
          <w:b/>
          <w:sz w:val="24"/>
          <w:szCs w:val="24"/>
        </w:rPr>
        <w:t xml:space="preserve"> </w:t>
      </w:r>
      <w:proofErr w:type="gramStart"/>
      <w:r w:rsidR="001D684A">
        <w:rPr>
          <w:rFonts w:ascii="Times New Roman" w:hAnsi="Times New Roman"/>
          <w:b/>
          <w:sz w:val="24"/>
          <w:szCs w:val="24"/>
        </w:rPr>
        <w:t>1</w:t>
      </w:r>
      <w:proofErr w:type="gramEnd"/>
      <w:r w:rsidR="006E0F73" w:rsidRPr="00C870E1">
        <w:rPr>
          <w:rFonts w:ascii="Times New Roman" w:hAnsi="Times New Roman"/>
          <w:b/>
          <w:sz w:val="24"/>
          <w:szCs w:val="24"/>
        </w:rPr>
        <w:t xml:space="preserve"> </w:t>
      </w:r>
      <w:r w:rsidR="004A3D71" w:rsidRPr="00C870E1">
        <w:rPr>
          <w:rFonts w:ascii="Times New Roman" w:hAnsi="Times New Roman"/>
          <w:b/>
          <w:sz w:val="24"/>
          <w:szCs w:val="24"/>
        </w:rPr>
        <w:t xml:space="preserve">DE </w:t>
      </w:r>
      <w:r w:rsidR="001D684A">
        <w:rPr>
          <w:rFonts w:ascii="Times New Roman" w:hAnsi="Times New Roman"/>
          <w:b/>
          <w:sz w:val="24"/>
          <w:szCs w:val="24"/>
        </w:rPr>
        <w:t>DEZEM</w:t>
      </w:r>
      <w:r w:rsidR="00C64683" w:rsidRPr="00C870E1">
        <w:rPr>
          <w:rFonts w:ascii="Times New Roman" w:hAnsi="Times New Roman"/>
          <w:b/>
          <w:sz w:val="24"/>
          <w:szCs w:val="24"/>
        </w:rPr>
        <w:t>BRO</w:t>
      </w:r>
      <w:r w:rsidR="004A3D71" w:rsidRPr="00C870E1">
        <w:rPr>
          <w:rFonts w:ascii="Times New Roman" w:hAnsi="Times New Roman"/>
          <w:b/>
          <w:sz w:val="24"/>
          <w:szCs w:val="24"/>
        </w:rPr>
        <w:t xml:space="preserve"> DE 2014, AS</w:t>
      </w:r>
      <w:r w:rsidR="0006735C" w:rsidRPr="00C870E1">
        <w:rPr>
          <w:rFonts w:ascii="Times New Roman" w:hAnsi="Times New Roman"/>
          <w:b/>
          <w:sz w:val="24"/>
          <w:szCs w:val="24"/>
        </w:rPr>
        <w:t xml:space="preserve"> 10:00 HORAS</w:t>
      </w:r>
      <w:r w:rsidR="00931C68">
        <w:rPr>
          <w:rFonts w:ascii="Times New Roman" w:hAnsi="Times New Roman"/>
          <w:sz w:val="24"/>
          <w:szCs w:val="24"/>
        </w:rPr>
        <w:t>.</w:t>
      </w:r>
    </w:p>
    <w:p w:rsidR="0006735C" w:rsidRPr="00BE4FF3" w:rsidRDefault="0006735C" w:rsidP="00B57D64">
      <w:pPr>
        <w:pStyle w:val="SemEspaamento"/>
        <w:jc w:val="both"/>
        <w:rPr>
          <w:rFonts w:ascii="Times New Roman" w:hAnsi="Times New Roman"/>
          <w:sz w:val="24"/>
          <w:szCs w:val="24"/>
        </w:rPr>
      </w:pPr>
    </w:p>
    <w:p w:rsidR="0006735C" w:rsidRPr="00BE4FF3" w:rsidRDefault="0006735C" w:rsidP="00B57D64">
      <w:pPr>
        <w:pStyle w:val="SemEspaamento"/>
        <w:jc w:val="both"/>
        <w:rPr>
          <w:rFonts w:ascii="Times New Roman" w:hAnsi="Times New Roman"/>
          <w:sz w:val="24"/>
          <w:szCs w:val="24"/>
        </w:rPr>
      </w:pPr>
      <w:r w:rsidRPr="00BE4FF3">
        <w:rPr>
          <w:rFonts w:ascii="Times New Roman" w:hAnsi="Times New Roman"/>
          <w:sz w:val="24"/>
          <w:szCs w:val="24"/>
        </w:rPr>
        <w:t>1ª P</w:t>
      </w:r>
      <w:r w:rsidR="00BE1093" w:rsidRPr="00BE4FF3">
        <w:rPr>
          <w:rFonts w:ascii="Times New Roman" w:hAnsi="Times New Roman"/>
          <w:sz w:val="24"/>
          <w:szCs w:val="24"/>
        </w:rPr>
        <w:t>A</w:t>
      </w:r>
      <w:r w:rsidRPr="00BE4FF3">
        <w:rPr>
          <w:rFonts w:ascii="Times New Roman" w:hAnsi="Times New Roman"/>
          <w:sz w:val="24"/>
          <w:szCs w:val="24"/>
        </w:rPr>
        <w:t xml:space="preserve">RTE </w:t>
      </w:r>
      <w:r w:rsidR="00C870E1">
        <w:rPr>
          <w:rFonts w:ascii="Times New Roman" w:hAnsi="Times New Roman"/>
          <w:sz w:val="24"/>
          <w:szCs w:val="24"/>
        </w:rPr>
        <w:t xml:space="preserve">- </w:t>
      </w:r>
      <w:r w:rsidRPr="00BE4FF3">
        <w:rPr>
          <w:rFonts w:ascii="Times New Roman" w:hAnsi="Times New Roman"/>
          <w:sz w:val="24"/>
          <w:szCs w:val="24"/>
        </w:rPr>
        <w:t>PEQUENO EXPEDI</w:t>
      </w:r>
      <w:r w:rsidR="00BE1093" w:rsidRPr="00BE4FF3">
        <w:rPr>
          <w:rFonts w:ascii="Times New Roman" w:hAnsi="Times New Roman"/>
          <w:sz w:val="24"/>
          <w:szCs w:val="24"/>
        </w:rPr>
        <w:t>E</w:t>
      </w:r>
      <w:r w:rsidRPr="00BE4FF3">
        <w:rPr>
          <w:rFonts w:ascii="Times New Roman" w:hAnsi="Times New Roman"/>
          <w:sz w:val="24"/>
          <w:szCs w:val="24"/>
        </w:rPr>
        <w:t>NTE</w:t>
      </w:r>
    </w:p>
    <w:p w:rsidR="004A3D71" w:rsidRPr="00BE4FF3" w:rsidRDefault="004A3D71" w:rsidP="00B57D64">
      <w:pPr>
        <w:pStyle w:val="SemEspaamento"/>
        <w:jc w:val="both"/>
        <w:rPr>
          <w:rFonts w:ascii="Times New Roman" w:hAnsi="Times New Roman"/>
          <w:sz w:val="24"/>
          <w:szCs w:val="24"/>
        </w:rPr>
      </w:pPr>
    </w:p>
    <w:p w:rsidR="00B57D64" w:rsidRDefault="0006735C" w:rsidP="00C870E1">
      <w:pPr>
        <w:pStyle w:val="SemEspaamento"/>
        <w:jc w:val="both"/>
        <w:rPr>
          <w:rFonts w:ascii="Times New Roman" w:hAnsi="Times New Roman"/>
          <w:sz w:val="24"/>
          <w:szCs w:val="24"/>
        </w:rPr>
      </w:pPr>
      <w:r w:rsidRPr="00BE4FF3">
        <w:rPr>
          <w:rFonts w:ascii="Times New Roman" w:hAnsi="Times New Roman"/>
          <w:sz w:val="24"/>
          <w:szCs w:val="24"/>
        </w:rPr>
        <w:t>- Apreciação d</w:t>
      </w:r>
      <w:r w:rsidR="006E0F73" w:rsidRPr="00BE4FF3">
        <w:rPr>
          <w:rFonts w:ascii="Times New Roman" w:hAnsi="Times New Roman"/>
          <w:sz w:val="24"/>
          <w:szCs w:val="24"/>
        </w:rPr>
        <w:t>a</w:t>
      </w:r>
      <w:r w:rsidRPr="00BE4FF3">
        <w:rPr>
          <w:rFonts w:ascii="Times New Roman" w:hAnsi="Times New Roman"/>
          <w:sz w:val="24"/>
          <w:szCs w:val="24"/>
        </w:rPr>
        <w:t xml:space="preserve"> ata da sessão anterior</w:t>
      </w:r>
      <w:r w:rsidR="007F71A6" w:rsidRPr="00BE4FF3">
        <w:rPr>
          <w:rFonts w:ascii="Times New Roman" w:hAnsi="Times New Roman"/>
          <w:sz w:val="24"/>
          <w:szCs w:val="24"/>
        </w:rPr>
        <w:t>.</w:t>
      </w:r>
    </w:p>
    <w:p w:rsidR="001D684A" w:rsidRDefault="001D684A" w:rsidP="00C870E1">
      <w:pPr>
        <w:pStyle w:val="SemEspaamento"/>
        <w:jc w:val="both"/>
        <w:rPr>
          <w:rFonts w:ascii="Times New Roman" w:hAnsi="Times New Roman"/>
          <w:sz w:val="24"/>
          <w:szCs w:val="24"/>
        </w:rPr>
      </w:pPr>
    </w:p>
    <w:p w:rsidR="001D684A" w:rsidRDefault="001D684A" w:rsidP="00C870E1">
      <w:pPr>
        <w:pStyle w:val="SemEspaamen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Leitura para conhecimento ao Projeto de Lei nº 1017/2014 que “</w:t>
      </w:r>
      <w:r w:rsidRPr="001D684A">
        <w:rPr>
          <w:rFonts w:ascii="Times New Roman" w:hAnsi="Times New Roman"/>
          <w:b/>
          <w:sz w:val="24"/>
          <w:szCs w:val="24"/>
        </w:rPr>
        <w:t>Autoriza o Poder Executivo Municipal a celebrar convênio com</w:t>
      </w:r>
      <w:r w:rsidR="00807F34" w:rsidRPr="001D684A">
        <w:rPr>
          <w:rFonts w:ascii="Times New Roman" w:hAnsi="Times New Roman"/>
          <w:b/>
          <w:sz w:val="24"/>
          <w:szCs w:val="24"/>
        </w:rPr>
        <w:t xml:space="preserve"> </w:t>
      </w:r>
      <w:r w:rsidRPr="001D684A">
        <w:rPr>
          <w:rFonts w:ascii="Times New Roman" w:hAnsi="Times New Roman"/>
          <w:b/>
          <w:sz w:val="24"/>
          <w:szCs w:val="24"/>
        </w:rPr>
        <w:t>Associação Comercial e Empresarial de Vale do Paraíso – RO ACEVAP e dá outras providências”.</w:t>
      </w:r>
    </w:p>
    <w:p w:rsidR="001D684A" w:rsidRDefault="001D684A" w:rsidP="00C870E1">
      <w:pPr>
        <w:pStyle w:val="SemEspaamento"/>
        <w:jc w:val="both"/>
        <w:rPr>
          <w:rFonts w:ascii="Times New Roman" w:hAnsi="Times New Roman"/>
          <w:b/>
          <w:sz w:val="24"/>
          <w:szCs w:val="24"/>
        </w:rPr>
      </w:pPr>
    </w:p>
    <w:p w:rsidR="001D684A" w:rsidRDefault="001D684A" w:rsidP="001D684A">
      <w:pPr>
        <w:tabs>
          <w:tab w:val="num" w:pos="644"/>
        </w:tabs>
        <w:jc w:val="both"/>
        <w:rPr>
          <w:i/>
          <w:sz w:val="24"/>
          <w:szCs w:val="24"/>
        </w:rPr>
      </w:pPr>
      <w:r w:rsidRPr="001D684A">
        <w:rPr>
          <w:rFonts w:ascii="Times New Roman" w:hAnsi="Times New Roman"/>
          <w:sz w:val="24"/>
          <w:szCs w:val="24"/>
        </w:rPr>
        <w:t xml:space="preserve">- Leitura ao Projeto de Lei nº 1015/2014: </w:t>
      </w:r>
      <w:r w:rsidRPr="001D684A">
        <w:rPr>
          <w:rFonts w:ascii="Times New Roman" w:hAnsi="Times New Roman"/>
          <w:sz w:val="24"/>
          <w:szCs w:val="24"/>
        </w:rPr>
        <w:t>“</w:t>
      </w:r>
      <w:r w:rsidRPr="001D684A">
        <w:rPr>
          <w:rFonts w:ascii="Times New Roman" w:hAnsi="Times New Roman"/>
          <w:b/>
          <w:sz w:val="24"/>
          <w:szCs w:val="24"/>
        </w:rPr>
        <w:t xml:space="preserve">Institui o Programa de Parcelamento Incentivado (PPI) sobre o pagamento à vista ou parcelado dos impostos: Predial e Territorial Urbano – IPTU e sobre Serviços de Qualquer Natureza – ISSQN, referentes aos exercícios de 2013 e anteriores e dá outras </w:t>
      </w:r>
      <w:r w:rsidR="00807F34" w:rsidRPr="001D684A">
        <w:rPr>
          <w:rFonts w:ascii="Times New Roman" w:hAnsi="Times New Roman"/>
          <w:b/>
          <w:sz w:val="24"/>
          <w:szCs w:val="24"/>
        </w:rPr>
        <w:t>providências</w:t>
      </w:r>
      <w:r w:rsidR="00807F34" w:rsidRPr="001D684A">
        <w:rPr>
          <w:sz w:val="24"/>
          <w:szCs w:val="24"/>
        </w:rPr>
        <w:t>.</w:t>
      </w:r>
      <w:proofErr w:type="gramStart"/>
      <w:r w:rsidRPr="001D684A">
        <w:rPr>
          <w:i/>
          <w:sz w:val="24"/>
          <w:szCs w:val="24"/>
        </w:rPr>
        <w:t>”</w:t>
      </w:r>
      <w:proofErr w:type="gramEnd"/>
    </w:p>
    <w:p w:rsidR="001D684A" w:rsidRPr="00F44415" w:rsidRDefault="001D684A" w:rsidP="001D684A">
      <w:pPr>
        <w:tabs>
          <w:tab w:val="num" w:pos="644"/>
        </w:tabs>
        <w:jc w:val="both"/>
        <w:rPr>
          <w:rFonts w:ascii="Times New Roman" w:hAnsi="Times New Roman"/>
          <w:sz w:val="24"/>
          <w:szCs w:val="24"/>
        </w:rPr>
      </w:pPr>
      <w:r w:rsidRPr="00F44415">
        <w:rPr>
          <w:rFonts w:ascii="Times New Roman" w:hAnsi="Times New Roman"/>
          <w:sz w:val="24"/>
          <w:szCs w:val="24"/>
        </w:rPr>
        <w:t>- Leitura ao Parecer nº 62/2014 da Comissão Permanente de Justiça e Redação ao Projeto de Lei nº 1015/2014.</w:t>
      </w:r>
    </w:p>
    <w:p w:rsidR="001D684A" w:rsidRPr="00F44415" w:rsidRDefault="001D684A" w:rsidP="001D684A">
      <w:pPr>
        <w:tabs>
          <w:tab w:val="num" w:pos="644"/>
        </w:tabs>
        <w:jc w:val="both"/>
        <w:rPr>
          <w:rFonts w:ascii="Times New Roman" w:hAnsi="Times New Roman"/>
          <w:sz w:val="24"/>
          <w:szCs w:val="24"/>
        </w:rPr>
      </w:pPr>
      <w:r w:rsidRPr="00F44415">
        <w:rPr>
          <w:rFonts w:ascii="Times New Roman" w:hAnsi="Times New Roman"/>
          <w:sz w:val="24"/>
          <w:szCs w:val="24"/>
        </w:rPr>
        <w:t xml:space="preserve">- Leitura ao Parecer nº </w:t>
      </w:r>
      <w:r w:rsidRPr="00F44415">
        <w:rPr>
          <w:rFonts w:ascii="Times New Roman" w:hAnsi="Times New Roman"/>
          <w:sz w:val="24"/>
          <w:szCs w:val="24"/>
        </w:rPr>
        <w:t xml:space="preserve"> </w:t>
      </w:r>
      <w:r w:rsidR="00F44415" w:rsidRPr="00F44415">
        <w:rPr>
          <w:rFonts w:ascii="Times New Roman" w:hAnsi="Times New Roman"/>
          <w:sz w:val="24"/>
          <w:szCs w:val="24"/>
        </w:rPr>
        <w:t xml:space="preserve">  </w:t>
      </w:r>
      <w:r w:rsidRPr="00F44415">
        <w:rPr>
          <w:rFonts w:ascii="Times New Roman" w:hAnsi="Times New Roman"/>
          <w:sz w:val="24"/>
          <w:szCs w:val="24"/>
        </w:rPr>
        <w:t xml:space="preserve"> </w:t>
      </w:r>
      <w:r w:rsidRPr="00F44415">
        <w:rPr>
          <w:rFonts w:ascii="Times New Roman" w:hAnsi="Times New Roman"/>
          <w:sz w:val="24"/>
          <w:szCs w:val="24"/>
        </w:rPr>
        <w:t xml:space="preserve">/2014 da Comissão Permanente de </w:t>
      </w:r>
      <w:r w:rsidRPr="00F44415">
        <w:rPr>
          <w:rFonts w:ascii="Times New Roman" w:hAnsi="Times New Roman"/>
          <w:sz w:val="24"/>
          <w:szCs w:val="24"/>
        </w:rPr>
        <w:t xml:space="preserve">Orçamento e Finanças </w:t>
      </w:r>
      <w:r w:rsidRPr="00F44415">
        <w:rPr>
          <w:rFonts w:ascii="Times New Roman" w:hAnsi="Times New Roman"/>
          <w:sz w:val="24"/>
          <w:szCs w:val="24"/>
        </w:rPr>
        <w:t>ao Projeto de Lei nº 1015/2014.</w:t>
      </w:r>
    </w:p>
    <w:p w:rsidR="00F44415" w:rsidRDefault="00F44415" w:rsidP="001D684A">
      <w:pPr>
        <w:tabs>
          <w:tab w:val="num" w:pos="644"/>
        </w:tabs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Pr="00F44415">
        <w:rPr>
          <w:rFonts w:ascii="Times New Roman" w:hAnsi="Times New Roman"/>
          <w:sz w:val="24"/>
          <w:szCs w:val="24"/>
        </w:rPr>
        <w:t>Leitura ao Projeto de Lei nº 1016/2014: “</w:t>
      </w:r>
      <w:r w:rsidRPr="00F44415">
        <w:rPr>
          <w:rFonts w:ascii="Times New Roman" w:hAnsi="Times New Roman"/>
          <w:b/>
          <w:sz w:val="24"/>
          <w:szCs w:val="24"/>
        </w:rPr>
        <w:t xml:space="preserve">Dispõe sobre o pagamento parcelo do IPTU </w:t>
      </w:r>
      <w:r>
        <w:rPr>
          <w:rFonts w:ascii="Times New Roman" w:hAnsi="Times New Roman"/>
          <w:b/>
          <w:sz w:val="24"/>
          <w:szCs w:val="24"/>
        </w:rPr>
        <w:t>e</w:t>
      </w:r>
      <w:r w:rsidRPr="00F44415">
        <w:rPr>
          <w:rFonts w:ascii="Times New Roman" w:hAnsi="Times New Roman"/>
          <w:b/>
          <w:sz w:val="24"/>
          <w:szCs w:val="24"/>
        </w:rPr>
        <w:t xml:space="preserve"> ITU, ano de 2015 e dá outras providências”.</w:t>
      </w:r>
    </w:p>
    <w:p w:rsidR="00F44415" w:rsidRPr="00F44415" w:rsidRDefault="00F44415" w:rsidP="00F44415">
      <w:pPr>
        <w:tabs>
          <w:tab w:val="num" w:pos="644"/>
        </w:tabs>
        <w:jc w:val="both"/>
        <w:rPr>
          <w:rFonts w:ascii="Times New Roman" w:hAnsi="Times New Roman"/>
          <w:sz w:val="24"/>
          <w:szCs w:val="24"/>
        </w:rPr>
      </w:pPr>
      <w:r w:rsidRPr="00F44415">
        <w:rPr>
          <w:rFonts w:ascii="Times New Roman" w:hAnsi="Times New Roman"/>
          <w:sz w:val="24"/>
          <w:szCs w:val="24"/>
        </w:rPr>
        <w:t>- Leitura ao Parecer nº 6</w:t>
      </w:r>
      <w:r>
        <w:rPr>
          <w:rFonts w:ascii="Times New Roman" w:hAnsi="Times New Roman"/>
          <w:sz w:val="24"/>
          <w:szCs w:val="24"/>
        </w:rPr>
        <w:t>1</w:t>
      </w:r>
      <w:r w:rsidRPr="00F44415">
        <w:rPr>
          <w:rFonts w:ascii="Times New Roman" w:hAnsi="Times New Roman"/>
          <w:sz w:val="24"/>
          <w:szCs w:val="24"/>
        </w:rPr>
        <w:t>/2014 da Comissão Permanente de Justiça e Redação ao Projeto de Lei nº 101</w:t>
      </w:r>
      <w:r>
        <w:rPr>
          <w:rFonts w:ascii="Times New Roman" w:hAnsi="Times New Roman"/>
          <w:sz w:val="24"/>
          <w:szCs w:val="24"/>
        </w:rPr>
        <w:t>6</w:t>
      </w:r>
      <w:r w:rsidRPr="00F44415">
        <w:rPr>
          <w:rFonts w:ascii="Times New Roman" w:hAnsi="Times New Roman"/>
          <w:sz w:val="24"/>
          <w:szCs w:val="24"/>
        </w:rPr>
        <w:t>/2014.</w:t>
      </w:r>
    </w:p>
    <w:p w:rsidR="00F44415" w:rsidRPr="00F44415" w:rsidRDefault="00F44415" w:rsidP="00F44415">
      <w:pPr>
        <w:tabs>
          <w:tab w:val="num" w:pos="644"/>
        </w:tabs>
        <w:jc w:val="both"/>
        <w:rPr>
          <w:rFonts w:ascii="Times New Roman" w:hAnsi="Times New Roman"/>
          <w:sz w:val="24"/>
          <w:szCs w:val="24"/>
        </w:rPr>
      </w:pPr>
      <w:r w:rsidRPr="00F44415">
        <w:rPr>
          <w:rFonts w:ascii="Times New Roman" w:hAnsi="Times New Roman"/>
          <w:sz w:val="24"/>
          <w:szCs w:val="24"/>
        </w:rPr>
        <w:t>- Leitura ao Parecer nº</w:t>
      </w:r>
      <w:r>
        <w:rPr>
          <w:rFonts w:ascii="Times New Roman" w:hAnsi="Times New Roman"/>
          <w:sz w:val="24"/>
          <w:szCs w:val="24"/>
        </w:rPr>
        <w:t xml:space="preserve"> 50</w:t>
      </w:r>
      <w:r w:rsidRPr="00F44415">
        <w:rPr>
          <w:rFonts w:ascii="Times New Roman" w:hAnsi="Times New Roman"/>
          <w:sz w:val="24"/>
          <w:szCs w:val="24"/>
        </w:rPr>
        <w:t>/2014 da Comissão Permanente de Orçamento e Finanças ao Projeto de Lei nº 101</w:t>
      </w:r>
      <w:r>
        <w:rPr>
          <w:rFonts w:ascii="Times New Roman" w:hAnsi="Times New Roman"/>
          <w:sz w:val="24"/>
          <w:szCs w:val="24"/>
        </w:rPr>
        <w:t>6</w:t>
      </w:r>
      <w:r w:rsidRPr="00F44415">
        <w:rPr>
          <w:rFonts w:ascii="Times New Roman" w:hAnsi="Times New Roman"/>
          <w:sz w:val="24"/>
          <w:szCs w:val="24"/>
        </w:rPr>
        <w:t>/2014.</w:t>
      </w:r>
    </w:p>
    <w:p w:rsidR="002A18D2" w:rsidRPr="00BE4FF3" w:rsidRDefault="0006735C" w:rsidP="00B57D64">
      <w:pPr>
        <w:pStyle w:val="SemEspaamento"/>
        <w:jc w:val="both"/>
        <w:rPr>
          <w:rFonts w:ascii="Times New Roman" w:hAnsi="Times New Roman"/>
          <w:sz w:val="24"/>
          <w:szCs w:val="24"/>
        </w:rPr>
      </w:pPr>
      <w:r w:rsidRPr="00BE4FF3">
        <w:rPr>
          <w:rFonts w:ascii="Times New Roman" w:hAnsi="Times New Roman"/>
          <w:sz w:val="24"/>
          <w:szCs w:val="24"/>
        </w:rPr>
        <w:t>-</w:t>
      </w:r>
      <w:r w:rsidR="00E860E9" w:rsidRPr="00BE4FF3">
        <w:rPr>
          <w:rFonts w:ascii="Times New Roman" w:hAnsi="Times New Roman"/>
          <w:sz w:val="24"/>
          <w:szCs w:val="24"/>
        </w:rPr>
        <w:t xml:space="preserve"> </w:t>
      </w:r>
      <w:r w:rsidRPr="00BE4FF3">
        <w:rPr>
          <w:rFonts w:ascii="Times New Roman" w:hAnsi="Times New Roman"/>
          <w:sz w:val="24"/>
          <w:szCs w:val="24"/>
        </w:rPr>
        <w:t>Leitura</w:t>
      </w:r>
      <w:r w:rsidR="00E860E9" w:rsidRPr="00BE4FF3">
        <w:rPr>
          <w:rFonts w:ascii="Times New Roman" w:hAnsi="Times New Roman"/>
          <w:sz w:val="24"/>
          <w:szCs w:val="24"/>
        </w:rPr>
        <w:t xml:space="preserve"> das correspondências recebidas.</w:t>
      </w:r>
      <w:r w:rsidRPr="00BE4FF3">
        <w:rPr>
          <w:rFonts w:ascii="Times New Roman" w:hAnsi="Times New Roman"/>
          <w:sz w:val="24"/>
          <w:szCs w:val="24"/>
        </w:rPr>
        <w:t xml:space="preserve"> </w:t>
      </w:r>
    </w:p>
    <w:p w:rsidR="00C64683" w:rsidRPr="00BE4FF3" w:rsidRDefault="00C64683" w:rsidP="00B57D64">
      <w:pPr>
        <w:pStyle w:val="SemEspaamento"/>
        <w:jc w:val="both"/>
        <w:rPr>
          <w:rFonts w:ascii="Times New Roman" w:hAnsi="Times New Roman"/>
          <w:sz w:val="24"/>
          <w:szCs w:val="24"/>
        </w:rPr>
      </w:pPr>
    </w:p>
    <w:p w:rsidR="002A18D2" w:rsidRPr="00BE4FF3" w:rsidRDefault="002A18D2" w:rsidP="00B57D64">
      <w:pPr>
        <w:pStyle w:val="SemEspaamento"/>
        <w:jc w:val="both"/>
        <w:rPr>
          <w:rFonts w:ascii="Times New Roman" w:hAnsi="Times New Roman"/>
          <w:sz w:val="24"/>
          <w:szCs w:val="24"/>
        </w:rPr>
      </w:pPr>
      <w:r w:rsidRPr="00BE4FF3">
        <w:rPr>
          <w:rFonts w:ascii="Times New Roman" w:hAnsi="Times New Roman"/>
          <w:sz w:val="24"/>
          <w:szCs w:val="24"/>
        </w:rPr>
        <w:t>2ª PARTE - GRANDE EXPEDIENTE</w:t>
      </w:r>
    </w:p>
    <w:p w:rsidR="00DA1FC1" w:rsidRPr="00BE4FF3" w:rsidRDefault="00DA1FC1" w:rsidP="00B57D64">
      <w:pPr>
        <w:pStyle w:val="SemEspaamento"/>
        <w:jc w:val="both"/>
        <w:rPr>
          <w:rFonts w:ascii="Times New Roman" w:hAnsi="Times New Roman"/>
          <w:sz w:val="24"/>
          <w:szCs w:val="24"/>
        </w:rPr>
      </w:pPr>
    </w:p>
    <w:p w:rsidR="002A18D2" w:rsidRPr="00BE4FF3" w:rsidRDefault="002A18D2" w:rsidP="00B57D64">
      <w:pPr>
        <w:pStyle w:val="SemEspaamento"/>
        <w:jc w:val="both"/>
        <w:rPr>
          <w:rFonts w:ascii="Times New Roman" w:hAnsi="Times New Roman"/>
          <w:sz w:val="24"/>
          <w:szCs w:val="24"/>
        </w:rPr>
      </w:pPr>
      <w:r w:rsidRPr="00BE4FF3">
        <w:rPr>
          <w:rFonts w:ascii="Times New Roman" w:hAnsi="Times New Roman"/>
          <w:sz w:val="24"/>
          <w:szCs w:val="24"/>
        </w:rPr>
        <w:t>-</w:t>
      </w:r>
      <w:r w:rsidR="00E860E9" w:rsidRPr="00BE4FF3">
        <w:rPr>
          <w:rFonts w:ascii="Times New Roman" w:hAnsi="Times New Roman"/>
          <w:sz w:val="24"/>
          <w:szCs w:val="24"/>
        </w:rPr>
        <w:t xml:space="preserve"> </w:t>
      </w:r>
      <w:r w:rsidRPr="00BE4FF3">
        <w:rPr>
          <w:rFonts w:ascii="Times New Roman" w:hAnsi="Times New Roman"/>
          <w:sz w:val="24"/>
          <w:szCs w:val="24"/>
        </w:rPr>
        <w:t>Palav</w:t>
      </w:r>
      <w:r w:rsidR="00DA1FC1" w:rsidRPr="00BE4FF3">
        <w:rPr>
          <w:rFonts w:ascii="Times New Roman" w:hAnsi="Times New Roman"/>
          <w:sz w:val="24"/>
          <w:szCs w:val="24"/>
        </w:rPr>
        <w:t>r</w:t>
      </w:r>
      <w:r w:rsidRPr="00BE4FF3">
        <w:rPr>
          <w:rFonts w:ascii="Times New Roman" w:hAnsi="Times New Roman"/>
          <w:sz w:val="24"/>
          <w:szCs w:val="24"/>
        </w:rPr>
        <w:t>a vaga aos Vereadores Inscritos</w:t>
      </w:r>
      <w:r w:rsidR="00B60E71">
        <w:rPr>
          <w:rFonts w:ascii="Times New Roman" w:hAnsi="Times New Roman"/>
          <w:sz w:val="24"/>
          <w:szCs w:val="24"/>
        </w:rPr>
        <w:t>.</w:t>
      </w:r>
    </w:p>
    <w:p w:rsidR="002A18D2" w:rsidRPr="00BE4FF3" w:rsidRDefault="002A18D2" w:rsidP="00B57D64">
      <w:pPr>
        <w:pStyle w:val="SemEspaamento"/>
        <w:jc w:val="both"/>
        <w:rPr>
          <w:rFonts w:ascii="Times New Roman" w:hAnsi="Times New Roman"/>
          <w:sz w:val="24"/>
          <w:szCs w:val="24"/>
        </w:rPr>
      </w:pPr>
    </w:p>
    <w:p w:rsidR="00B57D64" w:rsidRDefault="00164186" w:rsidP="00B57D64">
      <w:pPr>
        <w:pStyle w:val="SemEspaamento"/>
        <w:jc w:val="both"/>
        <w:rPr>
          <w:rFonts w:ascii="Times New Roman" w:hAnsi="Times New Roman"/>
          <w:sz w:val="24"/>
          <w:szCs w:val="24"/>
        </w:rPr>
      </w:pPr>
      <w:r w:rsidRPr="00BE4FF3">
        <w:rPr>
          <w:rFonts w:ascii="Times New Roman" w:hAnsi="Times New Roman"/>
          <w:sz w:val="24"/>
          <w:szCs w:val="24"/>
        </w:rPr>
        <w:t>3ª PARTE</w:t>
      </w:r>
      <w:r w:rsidR="002A18D2" w:rsidRPr="00BE4FF3">
        <w:rPr>
          <w:rFonts w:ascii="Times New Roman" w:hAnsi="Times New Roman"/>
          <w:sz w:val="24"/>
          <w:szCs w:val="24"/>
        </w:rPr>
        <w:t xml:space="preserve"> - ORDEM DO DIA</w:t>
      </w:r>
    </w:p>
    <w:p w:rsidR="002A18D2" w:rsidRPr="00BE4FF3" w:rsidRDefault="002A18D2" w:rsidP="00B57D64">
      <w:pPr>
        <w:pStyle w:val="SemEspaamento"/>
        <w:jc w:val="both"/>
        <w:rPr>
          <w:rFonts w:ascii="Times New Roman" w:hAnsi="Times New Roman"/>
          <w:b/>
          <w:sz w:val="24"/>
          <w:szCs w:val="24"/>
        </w:rPr>
      </w:pPr>
    </w:p>
    <w:p w:rsidR="00252EA5" w:rsidRPr="00F44415" w:rsidRDefault="00252EA5" w:rsidP="00252EA5">
      <w:pPr>
        <w:tabs>
          <w:tab w:val="num" w:pos="644"/>
        </w:tabs>
        <w:jc w:val="both"/>
        <w:rPr>
          <w:rFonts w:ascii="Times New Roman" w:hAnsi="Times New Roman"/>
          <w:sz w:val="24"/>
          <w:szCs w:val="24"/>
        </w:rPr>
      </w:pPr>
      <w:r w:rsidRPr="00F44415">
        <w:rPr>
          <w:rFonts w:ascii="Times New Roman" w:hAnsi="Times New Roman"/>
          <w:sz w:val="24"/>
          <w:szCs w:val="24"/>
        </w:rPr>
        <w:t xml:space="preserve">- </w:t>
      </w:r>
      <w:r>
        <w:rPr>
          <w:rFonts w:ascii="Times New Roman" w:hAnsi="Times New Roman"/>
          <w:sz w:val="24"/>
          <w:szCs w:val="24"/>
        </w:rPr>
        <w:t xml:space="preserve">Discussão e votação </w:t>
      </w:r>
      <w:r w:rsidRPr="00F44415">
        <w:rPr>
          <w:rFonts w:ascii="Times New Roman" w:hAnsi="Times New Roman"/>
          <w:sz w:val="24"/>
          <w:szCs w:val="24"/>
        </w:rPr>
        <w:t>ao Parecer nº 62/2014 da Comissão Permanente de Justiça e Redação ao Projeto de Lei nº 1015/2014.</w:t>
      </w:r>
    </w:p>
    <w:p w:rsidR="00252EA5" w:rsidRPr="00F44415" w:rsidRDefault="00252EA5" w:rsidP="00252EA5">
      <w:pPr>
        <w:tabs>
          <w:tab w:val="num" w:pos="644"/>
        </w:tabs>
        <w:jc w:val="both"/>
        <w:rPr>
          <w:rFonts w:ascii="Times New Roman" w:hAnsi="Times New Roman"/>
          <w:sz w:val="24"/>
          <w:szCs w:val="24"/>
        </w:rPr>
      </w:pPr>
      <w:r w:rsidRPr="00F44415">
        <w:rPr>
          <w:rFonts w:ascii="Times New Roman" w:hAnsi="Times New Roman"/>
          <w:sz w:val="24"/>
          <w:szCs w:val="24"/>
        </w:rPr>
        <w:t xml:space="preserve">- </w:t>
      </w:r>
      <w:r>
        <w:rPr>
          <w:rFonts w:ascii="Times New Roman" w:hAnsi="Times New Roman"/>
          <w:sz w:val="24"/>
          <w:szCs w:val="24"/>
        </w:rPr>
        <w:t>Discussão e votação</w:t>
      </w:r>
      <w:r w:rsidRPr="00F44415">
        <w:rPr>
          <w:rFonts w:ascii="Times New Roman" w:hAnsi="Times New Roman"/>
          <w:sz w:val="24"/>
          <w:szCs w:val="24"/>
        </w:rPr>
        <w:t xml:space="preserve"> ao Parecer nº     /2014 da Comissão Permanente de Orçamento e Finanças ao Projeto de Lei nº 1015/2014.</w:t>
      </w:r>
    </w:p>
    <w:p w:rsidR="00252EA5" w:rsidRDefault="00252EA5" w:rsidP="00252EA5">
      <w:pPr>
        <w:tabs>
          <w:tab w:val="num" w:pos="644"/>
        </w:tabs>
        <w:jc w:val="both"/>
        <w:rPr>
          <w:i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- </w:t>
      </w:r>
      <w:r>
        <w:rPr>
          <w:rFonts w:ascii="Times New Roman" w:hAnsi="Times New Roman"/>
          <w:sz w:val="24"/>
          <w:szCs w:val="24"/>
        </w:rPr>
        <w:t xml:space="preserve">Discussão e primeira votação </w:t>
      </w:r>
      <w:r w:rsidRPr="001D684A">
        <w:rPr>
          <w:rFonts w:ascii="Times New Roman" w:hAnsi="Times New Roman"/>
          <w:sz w:val="24"/>
          <w:szCs w:val="24"/>
        </w:rPr>
        <w:t>ao Projeto de Lei nº 1015/2014: “</w:t>
      </w:r>
      <w:r w:rsidRPr="001D684A">
        <w:rPr>
          <w:rFonts w:ascii="Times New Roman" w:hAnsi="Times New Roman"/>
          <w:b/>
          <w:sz w:val="24"/>
          <w:szCs w:val="24"/>
        </w:rPr>
        <w:t xml:space="preserve">Institui o Programa de Parcelamento Incentivado (PPI) sobre o pagamento à vista ou parcelado dos impostos: Predial e Territorial Urbano – IPTU e sobre Serviços de Qualquer Natureza – ISSQN, referentes aos exercícios de 2013 e anteriores e dá outras </w:t>
      </w:r>
      <w:proofErr w:type="gramStart"/>
      <w:r w:rsidRPr="001D684A">
        <w:rPr>
          <w:rFonts w:ascii="Times New Roman" w:hAnsi="Times New Roman"/>
          <w:b/>
          <w:sz w:val="24"/>
          <w:szCs w:val="24"/>
        </w:rPr>
        <w:t>providências</w:t>
      </w:r>
      <w:r w:rsidRPr="001D684A">
        <w:rPr>
          <w:sz w:val="24"/>
          <w:szCs w:val="24"/>
        </w:rPr>
        <w:t xml:space="preserve"> </w:t>
      </w:r>
      <w:r w:rsidRPr="001D684A">
        <w:rPr>
          <w:i/>
          <w:sz w:val="24"/>
          <w:szCs w:val="24"/>
        </w:rPr>
        <w:t>.</w:t>
      </w:r>
      <w:proofErr w:type="gramEnd"/>
      <w:r w:rsidRPr="001D684A">
        <w:rPr>
          <w:i/>
          <w:sz w:val="24"/>
          <w:szCs w:val="24"/>
        </w:rPr>
        <w:t>”</w:t>
      </w:r>
    </w:p>
    <w:p w:rsidR="00252EA5" w:rsidRPr="00F44415" w:rsidRDefault="00252EA5" w:rsidP="00252EA5">
      <w:pPr>
        <w:tabs>
          <w:tab w:val="num" w:pos="644"/>
        </w:tabs>
        <w:jc w:val="both"/>
        <w:rPr>
          <w:rFonts w:ascii="Times New Roman" w:hAnsi="Times New Roman"/>
          <w:sz w:val="24"/>
          <w:szCs w:val="24"/>
        </w:rPr>
      </w:pPr>
      <w:r w:rsidRPr="00F44415">
        <w:rPr>
          <w:rFonts w:ascii="Times New Roman" w:hAnsi="Times New Roman"/>
          <w:sz w:val="24"/>
          <w:szCs w:val="24"/>
        </w:rPr>
        <w:t xml:space="preserve">- </w:t>
      </w:r>
      <w:r>
        <w:rPr>
          <w:rFonts w:ascii="Times New Roman" w:hAnsi="Times New Roman"/>
          <w:sz w:val="24"/>
          <w:szCs w:val="24"/>
        </w:rPr>
        <w:t xml:space="preserve">Discussão e votação </w:t>
      </w:r>
      <w:r w:rsidRPr="00F44415">
        <w:rPr>
          <w:rFonts w:ascii="Times New Roman" w:hAnsi="Times New Roman"/>
          <w:sz w:val="24"/>
          <w:szCs w:val="24"/>
        </w:rPr>
        <w:t>ao Parecer nº 6</w:t>
      </w:r>
      <w:r>
        <w:rPr>
          <w:rFonts w:ascii="Times New Roman" w:hAnsi="Times New Roman"/>
          <w:sz w:val="24"/>
          <w:szCs w:val="24"/>
        </w:rPr>
        <w:t>1</w:t>
      </w:r>
      <w:r w:rsidRPr="00F44415">
        <w:rPr>
          <w:rFonts w:ascii="Times New Roman" w:hAnsi="Times New Roman"/>
          <w:sz w:val="24"/>
          <w:szCs w:val="24"/>
        </w:rPr>
        <w:t>/2014 da Comissão Permanente de Justiça e Redação ao Projeto de Lei nº 101</w:t>
      </w:r>
      <w:r>
        <w:rPr>
          <w:rFonts w:ascii="Times New Roman" w:hAnsi="Times New Roman"/>
          <w:sz w:val="24"/>
          <w:szCs w:val="24"/>
        </w:rPr>
        <w:t>6</w:t>
      </w:r>
      <w:r w:rsidRPr="00F44415">
        <w:rPr>
          <w:rFonts w:ascii="Times New Roman" w:hAnsi="Times New Roman"/>
          <w:sz w:val="24"/>
          <w:szCs w:val="24"/>
        </w:rPr>
        <w:t>/2014.</w:t>
      </w:r>
    </w:p>
    <w:p w:rsidR="00252EA5" w:rsidRDefault="00252EA5" w:rsidP="00252EA5">
      <w:pPr>
        <w:tabs>
          <w:tab w:val="num" w:pos="644"/>
        </w:tabs>
        <w:jc w:val="both"/>
        <w:rPr>
          <w:rFonts w:ascii="Times New Roman" w:hAnsi="Times New Roman"/>
          <w:sz w:val="24"/>
          <w:szCs w:val="24"/>
        </w:rPr>
      </w:pPr>
      <w:r w:rsidRPr="00F44415">
        <w:rPr>
          <w:rFonts w:ascii="Times New Roman" w:hAnsi="Times New Roman"/>
          <w:sz w:val="24"/>
          <w:szCs w:val="24"/>
        </w:rPr>
        <w:t xml:space="preserve">- </w:t>
      </w:r>
      <w:r>
        <w:rPr>
          <w:rFonts w:ascii="Times New Roman" w:hAnsi="Times New Roman"/>
          <w:sz w:val="24"/>
          <w:szCs w:val="24"/>
        </w:rPr>
        <w:t>Discussão e votação</w:t>
      </w:r>
      <w:r w:rsidRPr="00F44415">
        <w:rPr>
          <w:rFonts w:ascii="Times New Roman" w:hAnsi="Times New Roman"/>
          <w:sz w:val="24"/>
          <w:szCs w:val="24"/>
        </w:rPr>
        <w:t xml:space="preserve"> ao Parecer nº</w:t>
      </w:r>
      <w:r>
        <w:rPr>
          <w:rFonts w:ascii="Times New Roman" w:hAnsi="Times New Roman"/>
          <w:sz w:val="24"/>
          <w:szCs w:val="24"/>
        </w:rPr>
        <w:t xml:space="preserve"> 50</w:t>
      </w:r>
      <w:r w:rsidRPr="00F44415">
        <w:rPr>
          <w:rFonts w:ascii="Times New Roman" w:hAnsi="Times New Roman"/>
          <w:sz w:val="24"/>
          <w:szCs w:val="24"/>
        </w:rPr>
        <w:t>/2014 da Comissão Permanente de Orçamento e Finanças ao Projeto de Lei nº 101</w:t>
      </w:r>
      <w:r>
        <w:rPr>
          <w:rFonts w:ascii="Times New Roman" w:hAnsi="Times New Roman"/>
          <w:sz w:val="24"/>
          <w:szCs w:val="24"/>
        </w:rPr>
        <w:t>6</w:t>
      </w:r>
      <w:r w:rsidRPr="00F44415">
        <w:rPr>
          <w:rFonts w:ascii="Times New Roman" w:hAnsi="Times New Roman"/>
          <w:sz w:val="24"/>
          <w:szCs w:val="24"/>
        </w:rPr>
        <w:t>/2014.</w:t>
      </w:r>
    </w:p>
    <w:p w:rsidR="00252EA5" w:rsidRDefault="00252EA5" w:rsidP="00252EA5">
      <w:pPr>
        <w:tabs>
          <w:tab w:val="num" w:pos="644"/>
        </w:tabs>
        <w:jc w:val="both"/>
        <w:rPr>
          <w:rFonts w:ascii="Times New Roman" w:hAnsi="Times New Roman"/>
          <w:b/>
          <w:sz w:val="24"/>
          <w:szCs w:val="24"/>
        </w:rPr>
      </w:pPr>
      <w:r w:rsidRPr="00252EA5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- </w:t>
      </w:r>
      <w:r>
        <w:rPr>
          <w:rFonts w:ascii="Times New Roman" w:hAnsi="Times New Roman"/>
          <w:sz w:val="24"/>
          <w:szCs w:val="24"/>
        </w:rPr>
        <w:t xml:space="preserve">Discussão e </w:t>
      </w:r>
      <w:r w:rsidR="0007139B">
        <w:rPr>
          <w:rFonts w:ascii="Times New Roman" w:hAnsi="Times New Roman"/>
          <w:sz w:val="24"/>
          <w:szCs w:val="24"/>
        </w:rPr>
        <w:t xml:space="preserve">primeira 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>votação</w:t>
      </w:r>
      <w:r w:rsidRPr="00F44415">
        <w:rPr>
          <w:rFonts w:ascii="Times New Roman" w:hAnsi="Times New Roman"/>
          <w:sz w:val="24"/>
          <w:szCs w:val="24"/>
        </w:rPr>
        <w:t xml:space="preserve"> ao Projeto de Lei nº 1016/2014: “</w:t>
      </w:r>
      <w:r w:rsidRPr="00F44415">
        <w:rPr>
          <w:rFonts w:ascii="Times New Roman" w:hAnsi="Times New Roman"/>
          <w:b/>
          <w:sz w:val="24"/>
          <w:szCs w:val="24"/>
        </w:rPr>
        <w:t xml:space="preserve">Dispõe sobre o pagamento parcelo do IPTU </w:t>
      </w:r>
      <w:r>
        <w:rPr>
          <w:rFonts w:ascii="Times New Roman" w:hAnsi="Times New Roman"/>
          <w:b/>
          <w:sz w:val="24"/>
          <w:szCs w:val="24"/>
        </w:rPr>
        <w:t>e</w:t>
      </w:r>
      <w:r w:rsidRPr="00F44415">
        <w:rPr>
          <w:rFonts w:ascii="Times New Roman" w:hAnsi="Times New Roman"/>
          <w:b/>
          <w:sz w:val="24"/>
          <w:szCs w:val="24"/>
        </w:rPr>
        <w:t xml:space="preserve"> ITU, ano de 2015 e dá outras providências”.</w:t>
      </w:r>
    </w:p>
    <w:p w:rsidR="002A18D2" w:rsidRPr="00BE4FF3" w:rsidRDefault="00DA1FC1" w:rsidP="00B57D64">
      <w:pPr>
        <w:pStyle w:val="SemEspaamento"/>
        <w:jc w:val="both"/>
        <w:rPr>
          <w:rFonts w:ascii="Times New Roman" w:hAnsi="Times New Roman"/>
          <w:sz w:val="24"/>
          <w:szCs w:val="24"/>
        </w:rPr>
      </w:pPr>
      <w:r w:rsidRPr="00BE4FF3">
        <w:rPr>
          <w:rFonts w:ascii="Times New Roman" w:hAnsi="Times New Roman"/>
          <w:sz w:val="24"/>
          <w:szCs w:val="24"/>
        </w:rPr>
        <w:t>- Período</w:t>
      </w:r>
      <w:r w:rsidR="002A18D2" w:rsidRPr="00BE4FF3">
        <w:rPr>
          <w:rFonts w:ascii="Times New Roman" w:hAnsi="Times New Roman"/>
          <w:sz w:val="24"/>
          <w:szCs w:val="24"/>
        </w:rPr>
        <w:t xml:space="preserve"> de Explicações Pessoais</w:t>
      </w:r>
      <w:r w:rsidR="00B60E71">
        <w:rPr>
          <w:rFonts w:ascii="Times New Roman" w:hAnsi="Times New Roman"/>
          <w:sz w:val="24"/>
          <w:szCs w:val="24"/>
        </w:rPr>
        <w:t>.</w:t>
      </w:r>
    </w:p>
    <w:p w:rsidR="002E6FCE" w:rsidRDefault="002E6FCE" w:rsidP="00B57D64">
      <w:pPr>
        <w:pStyle w:val="SemEspaamento"/>
        <w:jc w:val="both"/>
        <w:rPr>
          <w:rFonts w:ascii="Times New Roman" w:hAnsi="Times New Roman"/>
          <w:sz w:val="24"/>
          <w:szCs w:val="24"/>
        </w:rPr>
      </w:pPr>
    </w:p>
    <w:p w:rsidR="002A18D2" w:rsidRPr="00BE4FF3" w:rsidRDefault="002A18D2" w:rsidP="00B57D64">
      <w:pPr>
        <w:pStyle w:val="SemEspaamento"/>
        <w:jc w:val="both"/>
        <w:rPr>
          <w:rFonts w:ascii="Times New Roman" w:hAnsi="Times New Roman"/>
          <w:sz w:val="24"/>
          <w:szCs w:val="24"/>
        </w:rPr>
      </w:pPr>
      <w:proofErr w:type="gramStart"/>
      <w:r w:rsidRPr="00BE4FF3">
        <w:rPr>
          <w:rFonts w:ascii="Times New Roman" w:hAnsi="Times New Roman"/>
          <w:sz w:val="24"/>
          <w:szCs w:val="24"/>
        </w:rPr>
        <w:t>Vale</w:t>
      </w:r>
      <w:proofErr w:type="gramEnd"/>
      <w:r w:rsidRPr="00BE4FF3">
        <w:rPr>
          <w:rFonts w:ascii="Times New Roman" w:hAnsi="Times New Roman"/>
          <w:sz w:val="24"/>
          <w:szCs w:val="24"/>
        </w:rPr>
        <w:t xml:space="preserve"> do Paraíso,</w:t>
      </w:r>
      <w:r w:rsidR="00DB0955">
        <w:rPr>
          <w:rFonts w:ascii="Times New Roman" w:hAnsi="Times New Roman"/>
          <w:sz w:val="24"/>
          <w:szCs w:val="24"/>
        </w:rPr>
        <w:t xml:space="preserve"> </w:t>
      </w:r>
      <w:r w:rsidR="00807F34">
        <w:rPr>
          <w:rFonts w:ascii="Times New Roman" w:hAnsi="Times New Roman"/>
          <w:sz w:val="24"/>
          <w:szCs w:val="24"/>
        </w:rPr>
        <w:t>28</w:t>
      </w:r>
      <w:r w:rsidR="00AC0DBC" w:rsidRPr="00BE4FF3">
        <w:rPr>
          <w:rFonts w:ascii="Times New Roman" w:hAnsi="Times New Roman"/>
          <w:sz w:val="24"/>
          <w:szCs w:val="24"/>
        </w:rPr>
        <w:t xml:space="preserve"> de </w:t>
      </w:r>
      <w:r w:rsidR="00AD1172" w:rsidRPr="00BE4FF3">
        <w:rPr>
          <w:rFonts w:ascii="Times New Roman" w:hAnsi="Times New Roman"/>
          <w:sz w:val="24"/>
          <w:szCs w:val="24"/>
        </w:rPr>
        <w:t>novembro</w:t>
      </w:r>
      <w:r w:rsidR="00AC0DBC" w:rsidRPr="00BE4FF3">
        <w:rPr>
          <w:rFonts w:ascii="Times New Roman" w:hAnsi="Times New Roman"/>
          <w:sz w:val="24"/>
          <w:szCs w:val="24"/>
        </w:rPr>
        <w:t xml:space="preserve"> de 2014.</w:t>
      </w:r>
    </w:p>
    <w:p w:rsidR="002A18D2" w:rsidRPr="00BE4FF3" w:rsidRDefault="002A18D2" w:rsidP="00B57D64">
      <w:pPr>
        <w:pStyle w:val="SemEspaamento"/>
        <w:jc w:val="both"/>
        <w:rPr>
          <w:rFonts w:ascii="Times New Roman" w:hAnsi="Times New Roman"/>
          <w:sz w:val="24"/>
          <w:szCs w:val="24"/>
        </w:rPr>
      </w:pPr>
    </w:p>
    <w:p w:rsidR="002A18D2" w:rsidRPr="00BE4FF3" w:rsidRDefault="002A18D2" w:rsidP="0006735C">
      <w:pPr>
        <w:pStyle w:val="SemEspaamento"/>
        <w:rPr>
          <w:rFonts w:ascii="Times New Roman" w:hAnsi="Times New Roman"/>
          <w:sz w:val="24"/>
          <w:szCs w:val="24"/>
        </w:rPr>
      </w:pPr>
    </w:p>
    <w:sectPr w:rsidR="002A18D2" w:rsidRPr="00BE4FF3" w:rsidSect="001C5AE9">
      <w:headerReference w:type="default" r:id="rId8"/>
      <w:pgSz w:w="11906" w:h="16838"/>
      <w:pgMar w:top="567" w:right="1701" w:bottom="993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B5A44" w:rsidRDefault="00AB5A44" w:rsidP="0087430A">
      <w:pPr>
        <w:spacing w:after="0" w:line="240" w:lineRule="auto"/>
      </w:pPr>
      <w:r>
        <w:separator/>
      </w:r>
    </w:p>
  </w:endnote>
  <w:endnote w:type="continuationSeparator" w:id="0">
    <w:p w:rsidR="00AB5A44" w:rsidRDefault="00AB5A44" w:rsidP="008743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B5A44" w:rsidRDefault="00AB5A44" w:rsidP="0087430A">
      <w:pPr>
        <w:spacing w:after="0" w:line="240" w:lineRule="auto"/>
      </w:pPr>
      <w:r>
        <w:separator/>
      </w:r>
    </w:p>
  </w:footnote>
  <w:footnote w:type="continuationSeparator" w:id="0">
    <w:p w:rsidR="00AB5A44" w:rsidRDefault="00AB5A44" w:rsidP="0087430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430A" w:rsidRDefault="0087430A" w:rsidP="0087430A">
    <w:pPr>
      <w:spacing w:after="0" w:line="240" w:lineRule="auto"/>
      <w:jc w:val="center"/>
    </w:pPr>
  </w:p>
  <w:tbl>
    <w:tblPr>
      <w:tblStyle w:val="Tabelacomgrade"/>
      <w:tblW w:w="0" w:type="auto"/>
      <w:tblLook w:val="04A0" w:firstRow="1" w:lastRow="0" w:firstColumn="1" w:lastColumn="0" w:noHBand="0" w:noVBand="1"/>
    </w:tblPr>
    <w:tblGrid>
      <w:gridCol w:w="2235"/>
      <w:gridCol w:w="6409"/>
    </w:tblGrid>
    <w:tr w:rsidR="0006735C" w:rsidTr="0006735C">
      <w:tc>
        <w:tcPr>
          <w:tcW w:w="2235" w:type="dxa"/>
        </w:tcPr>
        <w:p w:rsidR="0006735C" w:rsidRDefault="0006735C" w:rsidP="0087430A">
          <w:pPr>
            <w:spacing w:after="0" w:line="240" w:lineRule="auto"/>
            <w:jc w:val="center"/>
            <w:rPr>
              <w:b/>
              <w:color w:val="000000"/>
              <w:sz w:val="28"/>
              <w:szCs w:val="28"/>
            </w:rPr>
          </w:pPr>
          <w:r w:rsidRPr="0087430A">
            <w:rPr>
              <w:noProof/>
              <w:lang w:eastAsia="pt-BR"/>
            </w:rPr>
            <w:drawing>
              <wp:inline distT="0" distB="0" distL="0" distR="0" wp14:anchorId="1942D29F" wp14:editId="3396CFF7">
                <wp:extent cx="956945" cy="808355"/>
                <wp:effectExtent l="19050" t="0" r="0" b="0"/>
                <wp:docPr id="2" name="Imagem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56945" cy="80835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409" w:type="dxa"/>
        </w:tcPr>
        <w:p w:rsidR="0006735C" w:rsidRPr="0087430A" w:rsidRDefault="0006735C" w:rsidP="0006735C">
          <w:pPr>
            <w:spacing w:after="0" w:line="240" w:lineRule="auto"/>
            <w:jc w:val="center"/>
            <w:rPr>
              <w:color w:val="000000"/>
            </w:rPr>
          </w:pPr>
          <w:r w:rsidRPr="0087430A">
            <w:rPr>
              <w:color w:val="000000"/>
            </w:rPr>
            <w:t>Estado de Rondônia</w:t>
          </w:r>
        </w:p>
        <w:p w:rsidR="0006735C" w:rsidRDefault="0006735C" w:rsidP="0006735C">
          <w:pPr>
            <w:spacing w:after="0" w:line="240" w:lineRule="auto"/>
            <w:jc w:val="center"/>
            <w:rPr>
              <w:b/>
              <w:color w:val="000000"/>
              <w:sz w:val="28"/>
              <w:szCs w:val="28"/>
            </w:rPr>
          </w:pPr>
          <w:r>
            <w:rPr>
              <w:b/>
              <w:color w:val="000000"/>
              <w:sz w:val="28"/>
              <w:szCs w:val="28"/>
            </w:rPr>
            <w:t>PODER LEGISLATIVO MUNICIPAL</w:t>
          </w:r>
        </w:p>
        <w:p w:rsidR="0006735C" w:rsidRDefault="0006735C" w:rsidP="0006735C">
          <w:pPr>
            <w:spacing w:after="0" w:line="240" w:lineRule="auto"/>
            <w:jc w:val="center"/>
            <w:rPr>
              <w:b/>
              <w:color w:val="000000"/>
              <w:sz w:val="28"/>
              <w:szCs w:val="28"/>
            </w:rPr>
          </w:pPr>
          <w:r w:rsidRPr="0087430A">
            <w:rPr>
              <w:b/>
              <w:color w:val="000000"/>
              <w:sz w:val="28"/>
              <w:szCs w:val="28"/>
            </w:rPr>
            <w:t xml:space="preserve">CÂMARA MUNICIPAL DE VALE DO PARAÍSO </w:t>
          </w:r>
          <w:r>
            <w:rPr>
              <w:b/>
              <w:color w:val="000000"/>
              <w:sz w:val="28"/>
              <w:szCs w:val="28"/>
            </w:rPr>
            <w:t>–</w:t>
          </w:r>
          <w:r w:rsidRPr="0087430A">
            <w:rPr>
              <w:b/>
              <w:color w:val="000000"/>
              <w:sz w:val="28"/>
              <w:szCs w:val="28"/>
            </w:rPr>
            <w:t xml:space="preserve"> RO</w:t>
          </w:r>
        </w:p>
        <w:p w:rsidR="0006735C" w:rsidRDefault="0006735C" w:rsidP="0006735C">
          <w:pPr>
            <w:spacing w:after="0" w:line="240" w:lineRule="auto"/>
            <w:jc w:val="center"/>
            <w:rPr>
              <w:b/>
              <w:color w:val="000000"/>
              <w:sz w:val="28"/>
              <w:szCs w:val="28"/>
            </w:rPr>
          </w:pPr>
        </w:p>
      </w:tc>
    </w:tr>
  </w:tbl>
  <w:p w:rsidR="0087430A" w:rsidRDefault="0087430A" w:rsidP="0087430A">
    <w:pPr>
      <w:pStyle w:val="Cabealho"/>
      <w:jc w:val="center"/>
    </w:pPr>
  </w:p>
  <w:p w:rsidR="0006735C" w:rsidRDefault="0006735C" w:rsidP="0087430A">
    <w:pPr>
      <w:pStyle w:val="Cabealho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5872"/>
    <w:rsid w:val="000013F2"/>
    <w:rsid w:val="00007DB4"/>
    <w:rsid w:val="000537FB"/>
    <w:rsid w:val="0006735C"/>
    <w:rsid w:val="0007139B"/>
    <w:rsid w:val="000B33CD"/>
    <w:rsid w:val="000D2BBD"/>
    <w:rsid w:val="000F109A"/>
    <w:rsid w:val="0015474F"/>
    <w:rsid w:val="00164186"/>
    <w:rsid w:val="001B6C91"/>
    <w:rsid w:val="001C5AE9"/>
    <w:rsid w:val="001D684A"/>
    <w:rsid w:val="001E0EE6"/>
    <w:rsid w:val="00242DDF"/>
    <w:rsid w:val="0024312B"/>
    <w:rsid w:val="00252EA5"/>
    <w:rsid w:val="00273D68"/>
    <w:rsid w:val="002A18D2"/>
    <w:rsid w:val="002E6FCE"/>
    <w:rsid w:val="002F56F5"/>
    <w:rsid w:val="00304E6E"/>
    <w:rsid w:val="0032153B"/>
    <w:rsid w:val="00346807"/>
    <w:rsid w:val="003765B9"/>
    <w:rsid w:val="0038328E"/>
    <w:rsid w:val="0041107E"/>
    <w:rsid w:val="0045152A"/>
    <w:rsid w:val="00465703"/>
    <w:rsid w:val="004A3D71"/>
    <w:rsid w:val="004E7F15"/>
    <w:rsid w:val="005465CA"/>
    <w:rsid w:val="00594A4B"/>
    <w:rsid w:val="005B4040"/>
    <w:rsid w:val="0060775C"/>
    <w:rsid w:val="006E0F73"/>
    <w:rsid w:val="00750885"/>
    <w:rsid w:val="00755C89"/>
    <w:rsid w:val="00757473"/>
    <w:rsid w:val="007D0ECD"/>
    <w:rsid w:val="007F71A6"/>
    <w:rsid w:val="00807F34"/>
    <w:rsid w:val="008438DB"/>
    <w:rsid w:val="0087430A"/>
    <w:rsid w:val="00875A0F"/>
    <w:rsid w:val="008B5872"/>
    <w:rsid w:val="008B7271"/>
    <w:rsid w:val="008C3AF7"/>
    <w:rsid w:val="00930A92"/>
    <w:rsid w:val="00931C68"/>
    <w:rsid w:val="00A1524D"/>
    <w:rsid w:val="00A26269"/>
    <w:rsid w:val="00A43168"/>
    <w:rsid w:val="00A60408"/>
    <w:rsid w:val="00A64D74"/>
    <w:rsid w:val="00AB5A44"/>
    <w:rsid w:val="00AC0DBC"/>
    <w:rsid w:val="00AD1172"/>
    <w:rsid w:val="00B06C5A"/>
    <w:rsid w:val="00B50E4A"/>
    <w:rsid w:val="00B57D64"/>
    <w:rsid w:val="00B60E71"/>
    <w:rsid w:val="00B710F6"/>
    <w:rsid w:val="00BE1093"/>
    <w:rsid w:val="00BE4FF3"/>
    <w:rsid w:val="00C30931"/>
    <w:rsid w:val="00C64683"/>
    <w:rsid w:val="00C870E1"/>
    <w:rsid w:val="00CC5817"/>
    <w:rsid w:val="00D50C33"/>
    <w:rsid w:val="00D515A7"/>
    <w:rsid w:val="00DA1FC1"/>
    <w:rsid w:val="00DB0955"/>
    <w:rsid w:val="00DE6BFF"/>
    <w:rsid w:val="00E22326"/>
    <w:rsid w:val="00E56461"/>
    <w:rsid w:val="00E821A3"/>
    <w:rsid w:val="00E860E9"/>
    <w:rsid w:val="00E87F60"/>
    <w:rsid w:val="00F44415"/>
    <w:rsid w:val="00F51084"/>
    <w:rsid w:val="00F81B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6461"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7430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7430A"/>
    <w:rPr>
      <w:sz w:val="22"/>
      <w:szCs w:val="22"/>
      <w:lang w:eastAsia="en-US"/>
    </w:rPr>
  </w:style>
  <w:style w:type="paragraph" w:styleId="Rodap">
    <w:name w:val="footer"/>
    <w:basedOn w:val="Normal"/>
    <w:link w:val="RodapChar"/>
    <w:uiPriority w:val="99"/>
    <w:unhideWhenUsed/>
    <w:rsid w:val="0087430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7430A"/>
    <w:rPr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743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7430A"/>
    <w:rPr>
      <w:rFonts w:ascii="Tahoma" w:hAnsi="Tahoma" w:cs="Tahoma"/>
      <w:sz w:val="16"/>
      <w:szCs w:val="16"/>
      <w:lang w:eastAsia="en-US"/>
    </w:rPr>
  </w:style>
  <w:style w:type="table" w:styleId="Tabelacomgrade">
    <w:name w:val="Table Grid"/>
    <w:basedOn w:val="Tabelanormal"/>
    <w:uiPriority w:val="59"/>
    <w:rsid w:val="000673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emEspaamento">
    <w:name w:val="No Spacing"/>
    <w:uiPriority w:val="1"/>
    <w:qFormat/>
    <w:rsid w:val="0006735C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6461"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7430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7430A"/>
    <w:rPr>
      <w:sz w:val="22"/>
      <w:szCs w:val="22"/>
      <w:lang w:eastAsia="en-US"/>
    </w:rPr>
  </w:style>
  <w:style w:type="paragraph" w:styleId="Rodap">
    <w:name w:val="footer"/>
    <w:basedOn w:val="Normal"/>
    <w:link w:val="RodapChar"/>
    <w:uiPriority w:val="99"/>
    <w:unhideWhenUsed/>
    <w:rsid w:val="0087430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7430A"/>
    <w:rPr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743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7430A"/>
    <w:rPr>
      <w:rFonts w:ascii="Tahoma" w:hAnsi="Tahoma" w:cs="Tahoma"/>
      <w:sz w:val="16"/>
      <w:szCs w:val="16"/>
      <w:lang w:eastAsia="en-US"/>
    </w:rPr>
  </w:style>
  <w:style w:type="table" w:styleId="Tabelacomgrade">
    <w:name w:val="Table Grid"/>
    <w:basedOn w:val="Tabelanormal"/>
    <w:uiPriority w:val="59"/>
    <w:rsid w:val="000673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emEspaamento">
    <w:name w:val="No Spacing"/>
    <w:uiPriority w:val="1"/>
    <w:qFormat/>
    <w:rsid w:val="0006735C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0EB269-8AE5-4613-A71C-7C01CC2960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385</Words>
  <Characters>2085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2466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Cliente</dc:creator>
  <cp:lastModifiedBy>SEVEN</cp:lastModifiedBy>
  <cp:revision>6</cp:revision>
  <cp:lastPrinted>2014-11-28T14:55:00Z</cp:lastPrinted>
  <dcterms:created xsi:type="dcterms:W3CDTF">2014-11-28T11:52:00Z</dcterms:created>
  <dcterms:modified xsi:type="dcterms:W3CDTF">2014-11-28T15:10:00Z</dcterms:modified>
</cp:coreProperties>
</file>