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before="83"/>
        <w:ind w:left="4276" w:right="567" w:hanging="3820"/>
        <w:jc w:val="left"/>
        <w:rPr>
          <w:b/>
          <w:sz w:val="22"/>
        </w:rPr>
      </w:pPr>
      <w:r>
        <w:rPr>
          <w:b/>
          <w:w w:val="120"/>
          <w:sz w:val="22"/>
        </w:rPr>
        <w:t>Resumo da 19ª Reunião Sessão Ordinária da 2ª Sessão Legislativa da 17ª (2021 -</w:t>
      </w:r>
      <w:r>
        <w:rPr>
          <w:b/>
          <w:spacing w:val="-56"/>
          <w:w w:val="120"/>
          <w:sz w:val="22"/>
        </w:rPr>
        <w:t> </w:t>
      </w:r>
      <w:r>
        <w:rPr>
          <w:b/>
          <w:w w:val="120"/>
          <w:sz w:val="22"/>
        </w:rPr>
        <w:t>2024)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Legislatura</w:t>
      </w:r>
    </w:p>
    <w:p>
      <w:pPr>
        <w:spacing w:line="240" w:lineRule="auto" w:before="4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14"/>
        </w:rPr>
      </w:pPr>
      <w:r>
        <w:rPr/>
        <w:pict>
          <v:rect style="position:absolute;margin-left:102.349998pt;margin-top:10.555586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2025-08-18T14:32:34Z</dcterms:created>
  <dcterms:modified xsi:type="dcterms:W3CDTF">2025-08-18T14:32:34Z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