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E3651" w14:textId="085431AA" w:rsidR="007F39E6" w:rsidRPr="00D84FCA" w:rsidRDefault="0012539A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737E8E">
        <w:rPr>
          <w:rFonts w:ascii="Arial" w:hAnsi="Arial" w:cs="Arial"/>
          <w:b/>
          <w:sz w:val="24"/>
          <w:szCs w:val="24"/>
          <w:lang w:val="pt-BR"/>
        </w:rPr>
        <w:t xml:space="preserve"> 49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6D6697D1" w14:textId="2D86175A" w:rsidR="007F39E6" w:rsidRPr="00D84FCA" w:rsidRDefault="001B6354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3B0982" wp14:editId="4556C9BC">
            <wp:simplePos x="0" y="0"/>
            <wp:positionH relativeFrom="column">
              <wp:posOffset>3867150</wp:posOffset>
            </wp:positionH>
            <wp:positionV relativeFrom="paragraph">
              <wp:posOffset>232410</wp:posOffset>
            </wp:positionV>
            <wp:extent cx="2169795" cy="953770"/>
            <wp:effectExtent l="0" t="0" r="0" b="0"/>
            <wp:wrapNone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13DB175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71AA24B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33D0FA9A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32ABA3D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49379D43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598EAC7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673D386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4867FA4" w14:textId="77777777" w:rsidR="0012539A" w:rsidRPr="0012539A" w:rsidRDefault="007F39E6" w:rsidP="0012539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6DB86C0" w14:textId="77777777" w:rsidR="00EA7D6D" w:rsidRDefault="000B42F7" w:rsidP="00EA7D6D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B42F7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 </w:t>
      </w:r>
      <w:r w:rsidRPr="000B42F7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0B42F7">
        <w:rPr>
          <w:rFonts w:ascii="Arial" w:hAnsi="Arial" w:cs="Arial"/>
          <w:sz w:val="24"/>
          <w:szCs w:val="24"/>
          <w:lang w:val="pt-BR"/>
        </w:rPr>
        <w:t xml:space="preserve"> que seja enviado ao Poder Executivo Municipal uma solicitação para que disponha na Lei Municipal que trata do Regime Jurídico do Município de Francisco Beltrão, a equivalência do prazo da licença-maternidade para gestantes, adotantes e com guarda judicial, de 180 dias, sem distinção de prazos por idade da criança adotada.</w:t>
      </w:r>
    </w:p>
    <w:p w14:paraId="3ECD5B3A" w14:textId="77777777" w:rsidR="000B42F7" w:rsidRPr="00D84FCA" w:rsidRDefault="000B42F7" w:rsidP="00EA7D6D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673193FD" w14:textId="77777777" w:rsidR="007F39E6" w:rsidRPr="00D84FCA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4073B88" w14:textId="77777777" w:rsidR="00D1218A" w:rsidRPr="00D1218A" w:rsidRDefault="00D1218A" w:rsidP="00D1218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1218A">
        <w:rPr>
          <w:rFonts w:ascii="Arial" w:hAnsi="Arial" w:cs="Arial"/>
          <w:color w:val="000000"/>
          <w:sz w:val="24"/>
          <w:szCs w:val="24"/>
          <w:lang w:val="pt-BR"/>
        </w:rPr>
        <w:t>A presente proposição fundamenta-se na necessidade de harmonizar o ordenamento jurídico local com a jurisprudência vinculante do Supremo Tribunal Federal (STF). No julgamento do Recurso Extraordinário (RE) nº 778.889, sob a sistemática de repercussão geral (Tema 1.072), a Suprema Corte fixou a seguinte tese:</w:t>
      </w:r>
    </w:p>
    <w:p w14:paraId="5483BC74" w14:textId="77777777" w:rsidR="00D1218A" w:rsidRPr="00D1218A" w:rsidRDefault="00D1218A" w:rsidP="00D1218A">
      <w:pPr>
        <w:pStyle w:val="Corpodetexto"/>
        <w:ind w:left="2268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D1218A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"Os prazos da licença-maternidade concedida à servidora adotante não podem ser inferiores aos prazos da licença-maternidade concedida à servidora gestante, independentemente da idade da criança ou do adolescente adotado."</w:t>
      </w:r>
    </w:p>
    <w:p w14:paraId="5CE18548" w14:textId="77777777" w:rsidR="00D1218A" w:rsidRPr="00D1218A" w:rsidRDefault="00D1218A" w:rsidP="00D1218A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2C2FE83" w14:textId="77777777" w:rsidR="00D1218A" w:rsidRPr="00D1218A" w:rsidRDefault="00D1218A" w:rsidP="00D1218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1218A">
        <w:rPr>
          <w:rFonts w:ascii="Arial" w:hAnsi="Arial" w:cs="Arial"/>
          <w:color w:val="000000"/>
          <w:sz w:val="24"/>
          <w:szCs w:val="24"/>
          <w:lang w:val="pt-BR"/>
        </w:rPr>
        <w:t xml:space="preserve">Sob a ótica do Direito Administrativo, a manutenção de dispositivos que prevejam prazos escalonados por idade 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- </w:t>
      </w:r>
      <w:r w:rsidRPr="00D1218A">
        <w:rPr>
          <w:rFonts w:ascii="Arial" w:hAnsi="Arial" w:cs="Arial"/>
          <w:color w:val="000000"/>
          <w:sz w:val="24"/>
          <w:szCs w:val="24"/>
          <w:lang w:val="pt-BR"/>
        </w:rPr>
        <w:t xml:space="preserve">ou a omissão quanto à equiparação 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- </w:t>
      </w:r>
      <w:r w:rsidRPr="00D1218A">
        <w:rPr>
          <w:rFonts w:ascii="Arial" w:hAnsi="Arial" w:cs="Arial"/>
          <w:color w:val="000000"/>
          <w:sz w:val="24"/>
          <w:szCs w:val="24"/>
          <w:lang w:val="pt-BR"/>
        </w:rPr>
        <w:t xml:space="preserve">configura afronta direta ao Princípio da Isonomia (Art. 5º, caput, CF/88) e ao Princípio da Proteção Integral à Criança (Art. 227, CF/88). O entendimento jurídico </w:t>
      </w:r>
      <w:r w:rsidRPr="00D1218A">
        <w:rPr>
          <w:rFonts w:ascii="Arial" w:hAnsi="Arial" w:cs="Arial"/>
          <w:color w:val="000000"/>
          <w:sz w:val="24"/>
          <w:szCs w:val="24"/>
          <w:lang w:val="pt-BR"/>
        </w:rPr>
        <w:lastRenderedPageBreak/>
        <w:t>consolidado é de que a licença não é um benefício destinado apenas à recuperação física da genitora, mas sim um direito do menor de usufruir de um período de adaptação e criação de vínculos afetivos com a nova família, independentemente de sua origem biológica ou civil.</w:t>
      </w:r>
    </w:p>
    <w:p w14:paraId="1DAABBE3" w14:textId="77777777" w:rsidR="00D1218A" w:rsidRPr="00D1218A" w:rsidRDefault="00D1218A" w:rsidP="00D1218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1218A">
        <w:rPr>
          <w:rFonts w:ascii="Arial" w:hAnsi="Arial" w:cs="Arial"/>
          <w:color w:val="000000"/>
          <w:sz w:val="24"/>
          <w:szCs w:val="24"/>
          <w:lang w:val="pt-BR"/>
        </w:rPr>
        <w:t xml:space="preserve">No que concerne ao âmbito municipal paranaense, observa-se um movimento de autocontenção administrativa e atualização legislativa. O </w:t>
      </w:r>
      <w:r>
        <w:rPr>
          <w:rFonts w:ascii="Arial" w:hAnsi="Arial" w:cs="Arial"/>
          <w:color w:val="000000"/>
          <w:sz w:val="24"/>
          <w:szCs w:val="24"/>
          <w:lang w:val="pt-BR"/>
        </w:rPr>
        <w:t>m</w:t>
      </w:r>
      <w:r w:rsidRPr="00D1218A">
        <w:rPr>
          <w:rFonts w:ascii="Arial" w:hAnsi="Arial" w:cs="Arial"/>
          <w:color w:val="000000"/>
          <w:sz w:val="24"/>
          <w:szCs w:val="24"/>
          <w:lang w:val="pt-BR"/>
        </w:rPr>
        <w:t>unicípio de Cascavel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, por exemplo, </w:t>
      </w:r>
      <w:r w:rsidRPr="00D1218A">
        <w:rPr>
          <w:rFonts w:ascii="Arial" w:hAnsi="Arial" w:cs="Arial"/>
          <w:color w:val="000000"/>
          <w:sz w:val="24"/>
          <w:szCs w:val="24"/>
          <w:lang w:val="pt-BR"/>
        </w:rPr>
        <w:t>procedeu à referida adequação legal, reconhecendo que a manutenção de normas em descompasso com o STF gera um passivo judicial desnecessário, onerando o erário com custas processuais e honorários em ações que possuem resultado juridicamente previsível em favor das servidoras.</w:t>
      </w:r>
    </w:p>
    <w:p w14:paraId="39F6B434" w14:textId="77777777" w:rsidR="0028276E" w:rsidRPr="00D1218A" w:rsidRDefault="00D1218A" w:rsidP="00D1218A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1218A">
        <w:rPr>
          <w:rFonts w:ascii="Arial" w:hAnsi="Arial" w:cs="Arial"/>
          <w:color w:val="000000"/>
          <w:sz w:val="24"/>
          <w:szCs w:val="24"/>
          <w:lang w:val="pt-BR"/>
        </w:rPr>
        <w:t xml:space="preserve">Portanto, 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essa indicação antecipa o Executivo para que adeque </w:t>
      </w:r>
      <w:r w:rsidRPr="00D1218A">
        <w:rPr>
          <w:rFonts w:ascii="Arial" w:hAnsi="Arial" w:cs="Arial"/>
          <w:color w:val="000000"/>
          <w:sz w:val="24"/>
          <w:szCs w:val="24"/>
          <w:lang w:val="pt-BR"/>
        </w:rPr>
        <w:t xml:space="preserve">a </w:t>
      </w:r>
      <w:r>
        <w:rPr>
          <w:rFonts w:ascii="Arial" w:hAnsi="Arial" w:cs="Arial"/>
          <w:color w:val="000000"/>
          <w:sz w:val="24"/>
          <w:szCs w:val="24"/>
          <w:lang w:val="pt-BR"/>
        </w:rPr>
        <w:t>legislação municipal</w:t>
      </w:r>
      <w:r w:rsidRPr="00D1218A">
        <w:rPr>
          <w:rFonts w:ascii="Arial" w:hAnsi="Arial" w:cs="Arial"/>
          <w:color w:val="000000"/>
          <w:sz w:val="24"/>
          <w:szCs w:val="24"/>
          <w:lang w:val="pt-BR"/>
        </w:rPr>
        <w:t xml:space="preserve"> para garantir a segurança jurídica da Administração Pública de Francisco Beltrão, assegurando que o exercício do poder regulamentar municipal esteja em estrita observância ao bloco de constitucionalidade e ao princípio da dignidade da pessoa humana.</w:t>
      </w:r>
    </w:p>
    <w:p w14:paraId="486C0655" w14:textId="2A93EB92" w:rsidR="007F39E6" w:rsidRPr="00D84FCA" w:rsidRDefault="007F39E6" w:rsidP="000B42F7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B42F7">
        <w:rPr>
          <w:rFonts w:ascii="Arial" w:hAnsi="Arial" w:cs="Arial"/>
          <w:sz w:val="24"/>
          <w:szCs w:val="24"/>
        </w:rPr>
        <w:t>1</w:t>
      </w:r>
      <w:r w:rsidR="00253DDC">
        <w:rPr>
          <w:rFonts w:ascii="Arial" w:hAnsi="Arial" w:cs="Arial"/>
          <w:sz w:val="24"/>
          <w:szCs w:val="24"/>
        </w:rPr>
        <w:t>2</w:t>
      </w:r>
      <w:r w:rsidRPr="00D84FCA">
        <w:rPr>
          <w:rFonts w:ascii="Arial" w:hAnsi="Arial" w:cs="Arial"/>
          <w:sz w:val="24"/>
          <w:szCs w:val="24"/>
        </w:rPr>
        <w:t xml:space="preserve"> de fevereiro de 2026.</w:t>
      </w:r>
    </w:p>
    <w:p w14:paraId="733BC3BE" w14:textId="77777777" w:rsidR="007F39E6" w:rsidRDefault="007F39E6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D13A32" w14:textId="77777777" w:rsidR="000B42F7" w:rsidRPr="00D84FCA" w:rsidRDefault="000B42F7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3B278D7" w14:textId="77777777" w:rsidR="007F39E6" w:rsidRPr="00D84FCA" w:rsidRDefault="008730AD" w:rsidP="007F39E6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60D2A06D" w14:textId="77777777" w:rsidR="007F39E6" w:rsidRPr="00D84FCA" w:rsidRDefault="007F39E6" w:rsidP="007F39E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Pr="00D84FCA">
        <w:rPr>
          <w:rFonts w:ascii="Arial" w:hAnsi="Arial" w:cs="Arial"/>
          <w:b/>
          <w:color w:val="000000"/>
          <w:sz w:val="24"/>
          <w:szCs w:val="24"/>
        </w:rPr>
        <w:t>R</w:t>
      </w:r>
      <w:r w:rsidR="008730AD">
        <w:rPr>
          <w:rFonts w:ascii="Arial" w:hAnsi="Arial" w:cs="Arial"/>
          <w:b/>
          <w:color w:val="000000"/>
          <w:sz w:val="24"/>
          <w:szCs w:val="24"/>
        </w:rPr>
        <w:t>A</w:t>
      </w:r>
    </w:p>
    <w:p w14:paraId="0B616B04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3531DC5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16A9D394" w14:textId="77777777" w:rsidR="00AF6687" w:rsidRPr="00D84FCA" w:rsidRDefault="00AF6687" w:rsidP="00FC4988">
      <w:pPr>
        <w:rPr>
          <w:rFonts w:ascii="Arial" w:hAnsi="Arial" w:cs="Arial"/>
          <w:sz w:val="24"/>
          <w:szCs w:val="24"/>
        </w:rPr>
      </w:pPr>
    </w:p>
    <w:sectPr w:rsidR="00AF6687" w:rsidRPr="00D84FCA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E8F76" w14:textId="77777777" w:rsidR="00647125" w:rsidRDefault="00647125" w:rsidP="00F37231">
      <w:pPr>
        <w:spacing w:after="0" w:line="240" w:lineRule="auto"/>
      </w:pPr>
      <w:r>
        <w:separator/>
      </w:r>
    </w:p>
  </w:endnote>
  <w:endnote w:type="continuationSeparator" w:id="0">
    <w:p w14:paraId="7A442208" w14:textId="77777777" w:rsidR="00647125" w:rsidRDefault="00647125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0575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0D3A3EE3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1D0ED" w14:textId="77777777" w:rsidR="00647125" w:rsidRDefault="00647125" w:rsidP="00F37231">
      <w:pPr>
        <w:spacing w:after="0" w:line="240" w:lineRule="auto"/>
      </w:pPr>
      <w:r>
        <w:separator/>
      </w:r>
    </w:p>
  </w:footnote>
  <w:footnote w:type="continuationSeparator" w:id="0">
    <w:p w14:paraId="4BE30306" w14:textId="77777777" w:rsidR="00647125" w:rsidRDefault="00647125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E8DBB" w14:textId="77777777" w:rsidR="00FC4988" w:rsidRDefault="00737E8E">
    <w:pPr>
      <w:pStyle w:val="Cabealho"/>
    </w:pPr>
    <w:r>
      <w:rPr>
        <w:noProof/>
      </w:rPr>
      <w:pict w14:anchorId="25465D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8CAE" w14:textId="77777777" w:rsidR="00FC4988" w:rsidRDefault="00737E8E">
    <w:pPr>
      <w:pStyle w:val="Cabealho"/>
    </w:pPr>
    <w:r>
      <w:rPr>
        <w:noProof/>
      </w:rPr>
      <w:pict w14:anchorId="17700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28822" w14:textId="77777777" w:rsidR="00FC4988" w:rsidRDefault="00737E8E">
    <w:pPr>
      <w:pStyle w:val="Cabealho"/>
    </w:pPr>
    <w:r>
      <w:rPr>
        <w:noProof/>
      </w:rPr>
      <w:pict w14:anchorId="3F42FB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890730648">
    <w:abstractNumId w:val="2"/>
  </w:num>
  <w:num w:numId="2" w16cid:durableId="782772603">
    <w:abstractNumId w:val="7"/>
  </w:num>
  <w:num w:numId="3" w16cid:durableId="410087245">
    <w:abstractNumId w:val="1"/>
  </w:num>
  <w:num w:numId="4" w16cid:durableId="511183784">
    <w:abstractNumId w:val="6"/>
  </w:num>
  <w:num w:numId="5" w16cid:durableId="1396590753">
    <w:abstractNumId w:val="3"/>
  </w:num>
  <w:num w:numId="6" w16cid:durableId="174078305">
    <w:abstractNumId w:val="5"/>
  </w:num>
  <w:num w:numId="7" w16cid:durableId="1817988435">
    <w:abstractNumId w:val="8"/>
  </w:num>
  <w:num w:numId="8" w16cid:durableId="656615371">
    <w:abstractNumId w:val="0"/>
  </w:num>
  <w:num w:numId="9" w16cid:durableId="1292829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B42F7"/>
    <w:rsid w:val="000E40B9"/>
    <w:rsid w:val="0012539A"/>
    <w:rsid w:val="001A38BB"/>
    <w:rsid w:val="001A5A79"/>
    <w:rsid w:val="001B6354"/>
    <w:rsid w:val="00253DDC"/>
    <w:rsid w:val="0028276E"/>
    <w:rsid w:val="002B3B54"/>
    <w:rsid w:val="002C3C7E"/>
    <w:rsid w:val="002D7550"/>
    <w:rsid w:val="00321A2B"/>
    <w:rsid w:val="003618D8"/>
    <w:rsid w:val="0038385F"/>
    <w:rsid w:val="003A685E"/>
    <w:rsid w:val="003B1D9C"/>
    <w:rsid w:val="00445B48"/>
    <w:rsid w:val="00560C34"/>
    <w:rsid w:val="00647125"/>
    <w:rsid w:val="006535DB"/>
    <w:rsid w:val="00697398"/>
    <w:rsid w:val="006A375A"/>
    <w:rsid w:val="006B429D"/>
    <w:rsid w:val="00714E32"/>
    <w:rsid w:val="00737E8E"/>
    <w:rsid w:val="007A5CA9"/>
    <w:rsid w:val="007F39E6"/>
    <w:rsid w:val="008730AD"/>
    <w:rsid w:val="00891C4B"/>
    <w:rsid w:val="008A7140"/>
    <w:rsid w:val="009445DF"/>
    <w:rsid w:val="00977A3F"/>
    <w:rsid w:val="009803D8"/>
    <w:rsid w:val="00A17F93"/>
    <w:rsid w:val="00A61E57"/>
    <w:rsid w:val="00AF6687"/>
    <w:rsid w:val="00B24286"/>
    <w:rsid w:val="00B32167"/>
    <w:rsid w:val="00CF6494"/>
    <w:rsid w:val="00D1218A"/>
    <w:rsid w:val="00D41F97"/>
    <w:rsid w:val="00D84FCA"/>
    <w:rsid w:val="00D90B48"/>
    <w:rsid w:val="00D91B39"/>
    <w:rsid w:val="00E22699"/>
    <w:rsid w:val="00EA3AB1"/>
    <w:rsid w:val="00EA7D6D"/>
    <w:rsid w:val="00F37231"/>
    <w:rsid w:val="00F737B5"/>
    <w:rsid w:val="00FC4988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77F3B"/>
  <w15:chartTrackingRefBased/>
  <w15:docId w15:val="{DCAE60D7-3E19-41C9-AD73-DCA8D7522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2025-03-13T18:08:00Z</cp:lastPrinted>
  <dcterms:created xsi:type="dcterms:W3CDTF">2026-02-12T12:29:00Z</dcterms:created>
  <dcterms:modified xsi:type="dcterms:W3CDTF">2026-03-02T14:02:00Z</dcterms:modified>
</cp:coreProperties>
</file>