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157AB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3157AB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3157AB" w:rsidRPr="003157AB">
        <w:rPr>
          <w:rFonts w:ascii="Arial" w:hAnsi="Arial" w:cs="Arial"/>
          <w:b/>
          <w:sz w:val="24"/>
          <w:szCs w:val="24"/>
        </w:rPr>
        <w:t>QUE O PODER EXECUTIVO ESTUDE A POSSIBLIDADE DE INCENTIVAR O PAGAMENTO DE ALIMENTAÇÃO AOS DOADORES DE SANGUE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3157AB" w:rsidRPr="003157AB">
        <w:rPr>
          <w:rFonts w:ascii="Arial" w:eastAsia="Times New Roman" w:hAnsi="Arial" w:cs="Arial"/>
          <w:sz w:val="24"/>
          <w:szCs w:val="24"/>
        </w:rPr>
        <w:t>solicitou que o Poder Executivo estude a possiblidade de incentivar o pagamento de alimentação aos doadores de sangue, comentou que o número de doadores de sangue é muito baixo em Guarujá do Sul, e com essa ajuda de custo para alimentação, espera-se que a quantidade de doadores aumente.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8F6826" w:rsidRDefault="008F6826" w:rsidP="00A143C9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24</cp:revision>
  <cp:lastPrinted>2023-06-22T19:05:00Z</cp:lastPrinted>
  <dcterms:created xsi:type="dcterms:W3CDTF">2023-04-10T13:39:00Z</dcterms:created>
  <dcterms:modified xsi:type="dcterms:W3CDTF">2023-07-14T11:13:00Z</dcterms:modified>
</cp:coreProperties>
</file>