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677823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0739BC">
        <w:rPr>
          <w:rFonts w:ascii="Times New Roman" w:hAnsi="Times New Roman" w:cs="Times New Roman"/>
          <w:b/>
          <w:bCs/>
          <w:sz w:val="24"/>
          <w:szCs w:val="24"/>
        </w:rPr>
        <w:t>1.681, DE 12 DE NOVEMBRO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77823" w:rsidRPr="0003640B" w:rsidRDefault="00677823" w:rsidP="00677823">
      <w:pPr>
        <w:spacing w:line="360" w:lineRule="auto"/>
        <w:ind w:left="2835" w:right="-1"/>
        <w:jc w:val="both"/>
        <w:rPr>
          <w:rFonts w:ascii="Times New Roman" w:hAnsi="Times New Roman"/>
          <w:b/>
          <w:i/>
          <w:sz w:val="24"/>
          <w:szCs w:val="24"/>
        </w:rPr>
      </w:pPr>
      <w:r w:rsidRPr="0003640B">
        <w:rPr>
          <w:rFonts w:ascii="Times New Roman" w:hAnsi="Times New Roman"/>
          <w:b/>
          <w:i/>
          <w:sz w:val="24"/>
          <w:szCs w:val="24"/>
        </w:rPr>
        <w:t xml:space="preserve">“Dispõe sobre o Plano Plurianual (PPA) do Município de Lajinha, Estado de Minas Gerais, para o quadriênio 2022 a 2025 e dá outras providências”. 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1º -</w:t>
      </w:r>
      <w:r w:rsidRPr="0003640B">
        <w:rPr>
          <w:rFonts w:ascii="Times New Roman" w:hAnsi="Times New Roman"/>
          <w:sz w:val="24"/>
          <w:szCs w:val="24"/>
        </w:rPr>
        <w:t xml:space="preserve"> Esta Lei institui o Plano Pl</w:t>
      </w:r>
      <w:r>
        <w:rPr>
          <w:rFonts w:ascii="Times New Roman" w:hAnsi="Times New Roman"/>
          <w:sz w:val="24"/>
          <w:szCs w:val="24"/>
        </w:rPr>
        <w:t xml:space="preserve">urianual (PPA) para o período de 2022 a 2025, </w:t>
      </w:r>
      <w:r w:rsidRPr="0003640B">
        <w:rPr>
          <w:rFonts w:ascii="Times New Roman" w:hAnsi="Times New Roman"/>
          <w:sz w:val="24"/>
          <w:szCs w:val="24"/>
        </w:rPr>
        <w:t xml:space="preserve">em cumprimento ao disposto no artigo 165, § 1º, da Constituição Federal.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2º -</w:t>
      </w:r>
      <w:r w:rsidRPr="0003640B">
        <w:rPr>
          <w:rFonts w:ascii="Times New Roman" w:hAnsi="Times New Roman"/>
          <w:sz w:val="24"/>
          <w:szCs w:val="24"/>
        </w:rPr>
        <w:t xml:space="preserve"> O Plano Plurianual tem como diretrizes: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 – Promoção do Desenvolvimento Sustentável e Solidário;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 – Realização de Políticas Públicas para a Cidadania, a Afirmação dos Direitos e da Justiça Social;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III – Efetivação da Democracia, da Qualidade da Gestão Pública e a Ampliação da Participação Popular.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3º -</w:t>
      </w:r>
      <w:r w:rsidRPr="0003640B">
        <w:rPr>
          <w:rFonts w:ascii="Times New Roman" w:hAnsi="Times New Roman"/>
          <w:sz w:val="24"/>
          <w:szCs w:val="24"/>
        </w:rPr>
        <w:t xml:space="preserve"> Os objetivos estratégicos a serem alcançados pelo Plano Plurianual são: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 I - Estimular a geração de trabalho e emprego em vários setores da economia local, através do incentivo empreendedorismo, a fim de promover a geração e distribuição da renda;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 - </w:t>
      </w:r>
      <w:proofErr w:type="gramStart"/>
      <w:r w:rsidRPr="0003640B">
        <w:rPr>
          <w:rFonts w:ascii="Times New Roman" w:hAnsi="Times New Roman"/>
          <w:sz w:val="24"/>
          <w:szCs w:val="24"/>
        </w:rPr>
        <w:t>Implementar</w:t>
      </w:r>
      <w:proofErr w:type="gramEnd"/>
      <w:r w:rsidRPr="0003640B">
        <w:rPr>
          <w:rFonts w:ascii="Times New Roman" w:hAnsi="Times New Roman"/>
          <w:sz w:val="24"/>
          <w:szCs w:val="24"/>
        </w:rPr>
        <w:t xml:space="preserve"> política municipal de abastecimento alimentar capaz de estimular a produção diversificada da agropecuária, a fim de incidir na geração de renda e empregos no campo, com atenção especial para a agricultura familiar;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III - Qualificar a </w:t>
      </w:r>
      <w:proofErr w:type="spellStart"/>
      <w:proofErr w:type="gramStart"/>
      <w:r w:rsidRPr="0003640B">
        <w:rPr>
          <w:rFonts w:ascii="Times New Roman" w:hAnsi="Times New Roman"/>
          <w:sz w:val="24"/>
          <w:szCs w:val="24"/>
        </w:rPr>
        <w:t>infra-estrutura</w:t>
      </w:r>
      <w:proofErr w:type="spellEnd"/>
      <w:proofErr w:type="gramEnd"/>
      <w:r w:rsidRPr="0003640B">
        <w:rPr>
          <w:rFonts w:ascii="Times New Roman" w:hAnsi="Times New Roman"/>
          <w:sz w:val="24"/>
          <w:szCs w:val="24"/>
        </w:rPr>
        <w:t xml:space="preserve"> urbana e rural especialmente para resolver problemas estruturais pela intervenção em pontos estratégicos;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lastRenderedPageBreak/>
        <w:t xml:space="preserve">IV - Promover o comprometimento de agentes públicos e privados com a conservação e o uso sustentável dos recursos naturais através de estratégias de desenvolvimento sustentável;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V - Garantir o direito humano à saúde através da promoção de políticas públicas que efetivem o acesso universal aos serviços e ações em </w:t>
      </w:r>
      <w:proofErr w:type="gramStart"/>
      <w:r w:rsidRPr="0003640B">
        <w:rPr>
          <w:rFonts w:ascii="Times New Roman" w:hAnsi="Times New Roman"/>
          <w:sz w:val="24"/>
          <w:szCs w:val="24"/>
        </w:rPr>
        <w:t>saúde desenvolvidos com qualidade</w:t>
      </w:r>
      <w:proofErr w:type="gramEnd"/>
      <w:r w:rsidRPr="0003640B">
        <w:rPr>
          <w:rFonts w:ascii="Times New Roman" w:hAnsi="Times New Roman"/>
          <w:sz w:val="24"/>
          <w:szCs w:val="24"/>
        </w:rPr>
        <w:t xml:space="preserve"> e para efetivar a realização do Sistema Único de Saúde (SUS);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VI - Garantir o direito humano à educação através da promoção de políticas públicas que efetivem a educação básica como mediação para a aprendizagem e o exercício da cidadania;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VII - Garantir o direito à assistência social através da promoção de política pública articulada e coordenada que promova e proteja, com prioridade, os segmentos sociais em situação de maior vulnerabilidade;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VIII - Garantir o direito à acessibilidade e à mobilidade através de ações e serviços adequados e que promovam a integração cidadã aos vários espaços urbanos;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IX - Garantir o direito humano à moradia adequada com atenção especial às populações de menor renda atuando na ampliação do acesso à moradia de interesse social;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X - Garantia do direito humano ao desenvolvimento artístico e cultural através de políticas públicas de promoção da cultura popular, do desporto e do lazer;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XI - Contribuir com a promoção do direito de viverem livres da violência através de ações de integração comunitária e de articulação as ações de segurança pública com cidadania;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XII - Garantir o direito à cidade através de mecanismos de participação da população nas definições sobre planejamento urbano e de inclusão de populações residentes em áreas de risco;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XIII - Promover o acesso amplo e transparente à informação pública a fim de fortalecer o exercício da cidadania e da participação democrática;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lastRenderedPageBreak/>
        <w:t xml:space="preserve">XIV - Garantir a participação qualificada, permanente e consistente da cidadania na definição e na </w:t>
      </w:r>
      <w:proofErr w:type="gramStart"/>
      <w:r w:rsidRPr="0003640B">
        <w:rPr>
          <w:rFonts w:ascii="Times New Roman" w:hAnsi="Times New Roman"/>
          <w:sz w:val="24"/>
          <w:szCs w:val="24"/>
        </w:rPr>
        <w:t>implementação</w:t>
      </w:r>
      <w:proofErr w:type="gramEnd"/>
      <w:r w:rsidRPr="0003640B">
        <w:rPr>
          <w:rFonts w:ascii="Times New Roman" w:hAnsi="Times New Roman"/>
          <w:sz w:val="24"/>
          <w:szCs w:val="24"/>
        </w:rPr>
        <w:t xml:space="preserve"> de políticas públicas municipais;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>XV - Oferecer serviços públicos qualificados para a garantia de direitos da cidadania através da criação de condições físicas, de pessoal e de controle administrativo e financeiro;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 XVI - Garantir recursos financeiros para a </w:t>
      </w:r>
      <w:proofErr w:type="gramStart"/>
      <w:r w:rsidRPr="0003640B">
        <w:rPr>
          <w:rFonts w:ascii="Times New Roman" w:hAnsi="Times New Roman"/>
          <w:sz w:val="24"/>
          <w:szCs w:val="24"/>
        </w:rPr>
        <w:t>implementação</w:t>
      </w:r>
      <w:proofErr w:type="gramEnd"/>
      <w:r w:rsidRPr="0003640B">
        <w:rPr>
          <w:rFonts w:ascii="Times New Roman" w:hAnsi="Times New Roman"/>
          <w:sz w:val="24"/>
          <w:szCs w:val="24"/>
        </w:rPr>
        <w:t xml:space="preserve"> das prioridades políticas municipais através do incremento do orçamento público com receitas próprias e com captação junto a órgãos federais e estaduais.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4º -</w:t>
      </w:r>
      <w:r w:rsidRPr="0003640B">
        <w:rPr>
          <w:rFonts w:ascii="Times New Roman" w:hAnsi="Times New Roman"/>
          <w:sz w:val="24"/>
          <w:szCs w:val="24"/>
        </w:rPr>
        <w:t xml:space="preserve"> Os Programas de Ação da Administração Pública Municipal, constantes dos Anexos, constituem-se nos instrumentos de organização das ações a serem desenvolvidas pelo Poder Público Municipal no período compreendido no Plano Plurianual.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5º -</w:t>
      </w:r>
      <w:r w:rsidRPr="0003640B">
        <w:rPr>
          <w:rFonts w:ascii="Times New Roman" w:hAnsi="Times New Roman"/>
          <w:sz w:val="24"/>
          <w:szCs w:val="24"/>
        </w:rPr>
        <w:t xml:space="preserve"> As metas físicas estabelecidas para o período do Plano Plurianual constituem-se em limite de programação a ser observado em cada Lei de Diretrizes Orçamentárias e em cada Lei Orçamentária, assim como em propostas para créditos adicionais.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6º -</w:t>
      </w:r>
      <w:r w:rsidRPr="0003640B">
        <w:rPr>
          <w:rFonts w:ascii="Times New Roman" w:hAnsi="Times New Roman"/>
          <w:sz w:val="24"/>
          <w:szCs w:val="24"/>
        </w:rPr>
        <w:t xml:space="preserve"> Os valores consignados a cada ação são referenciais e não se constituem em limites à programação das despesas expressas em cada Lei de Diretrizes Orçamentárias e em cada Lei Orçamentária, assim como em propostas para créditos adicionais.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7º -</w:t>
      </w:r>
      <w:r w:rsidRPr="0003640B">
        <w:rPr>
          <w:rFonts w:ascii="Times New Roman" w:hAnsi="Times New Roman"/>
          <w:sz w:val="24"/>
          <w:szCs w:val="24"/>
        </w:rPr>
        <w:t xml:space="preserve"> Os recursos que financiarão a programação constante no Plano Plurianual são oriundos de fontes próprias do Município, das transferências constitucionais, Emendas Parlamentares, das operações de crédito firmadas, dos convênios com o Estado e a União e de parcerias com a iniciativa privada.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8º -</w:t>
      </w:r>
      <w:r w:rsidRPr="0003640B">
        <w:rPr>
          <w:rFonts w:ascii="Times New Roman" w:hAnsi="Times New Roman"/>
          <w:sz w:val="24"/>
          <w:szCs w:val="24"/>
        </w:rPr>
        <w:t xml:space="preserve"> A inclusão de novos programas bem como a exclusão ou alteração dos programas definidos nesta Lei serão propostos pelo Poder Executivo por meio de Projeto de Lei de revisão anual ou de revisões específicas.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§ 1º - Os Projetos de Lei de revisão anual, se necessários, serão encaminhados à Câmara Municipal no momento que for incluído ou excluído novas Ações.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lastRenderedPageBreak/>
        <w:t xml:space="preserve">§ 2º - As leis de diretrizes orçamentárias, ao estabelecer as prioridades para o exercício seguinte, poderão promover ajustes no PPA desde que guardem consonância com as diretrizes estratégicas do Plano e com seu cenário de financiamento, mantendo-se os ajustes efetuados nos exercícios subsequentes.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>§ 3º - Considera-se alteração de programa: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 I - modificação da denominação, do objetivo, do público-alvo e dos indicadores e índices;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 - inclusão ou exclusão de ações e produtos;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III - alteração de título da ação orçamentária, do produto, da unidade de medida, das metas e custos.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§ 4º - As alterações do PPA resultantes da mudança do cenário de financiamento do Plano deverão ser objeto de projeto de lei específico a ser encaminhado ao Poder Legislativo, juntamente com a devida fundamentação.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9º -</w:t>
      </w:r>
      <w:r w:rsidRPr="0003640B">
        <w:rPr>
          <w:rFonts w:ascii="Times New Roman" w:hAnsi="Times New Roman"/>
          <w:sz w:val="24"/>
          <w:szCs w:val="24"/>
        </w:rPr>
        <w:t xml:space="preserve"> As codificações de programas e ações deste Plano serão observadas em cada Lei de Diretrizes Orçamentárias, em cada Lei Orçamentária Anual e em seus créditos adicionais, assim como nas Leis de revisão do Plano Plurianual.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Parágrafo único - Os códigos a que se refere este artigo prevalecerão até a extinção dos programas e ações a que se vinculam.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10</w:t>
      </w:r>
      <w:r w:rsidRPr="0003640B">
        <w:rPr>
          <w:rFonts w:ascii="Times New Roman" w:hAnsi="Times New Roman"/>
          <w:sz w:val="24"/>
          <w:szCs w:val="24"/>
        </w:rPr>
        <w:t xml:space="preserve"> - Somente poderão ser contratadas operações de crédito para o financiamento de projetos que estejam especificados no Plano Plurianual, observados os montantes de investimento correspondentes.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11 -</w:t>
      </w:r>
      <w:r w:rsidRPr="0003640B">
        <w:rPr>
          <w:rFonts w:ascii="Times New Roman" w:hAnsi="Times New Roman"/>
          <w:sz w:val="24"/>
          <w:szCs w:val="24"/>
        </w:rPr>
        <w:t xml:space="preserve"> O Plano Plurianual e seus programas serão permanentemente acompanhados e anualmente avaliados.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§ 1º - O acompanhamento da execução do PPA será feito com base na evolução da realização das ações previstas para cada programa tendo, para tal, como subsídios, entre outros o plano gerencial de execução e as informações de execução físico-financeira fornecida pelos responsáveis pela execução.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lastRenderedPageBreak/>
        <w:t xml:space="preserve">§ 2º - A avaliação do PPA será realizada com base nos objetivos, no desempenho dos indicadores previstos em cada Programa e no atingimento das metas físicas e financeiras, cujas, informações serão apuradas pelos responsáveis pela execução e informadas à Secretaria de Planejamento nos termos estabelecidos nesta lei e outras determinações complementares operacionais estabelecidas pela Secretaria de Planejamento, e/ou Fazenda e pelo controlador interno.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§ 1º - Para o atendimento do disposto neste artigo, o Poder Executivo instituirá Sistema de Acompanhamento e de Avaliação do Plano Plurianual, sob a coordenação da Secretaria Municipal da Fazenda e/ou Planejamento.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§ 2º - O Poder Executivo elaborará e dará ampla publicidade a relatório de avaliação do Plano Plurianual que conterá, pelo menos: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 – análise das variáveis que embasaram a elaboração do Plano, explicitando, se for o caso, as razões das diferenças entre os valores previstos e realizados;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 – demonstrativo, por programa e por ação, da execução física e financeira do exercício anterior e a acumulada, distinguindo-se as fontes de recursos, se oriundas do orçamento fiscal; das operações de crédito; dos convênios com o Estado e União; ou de parcerias com a iniciativa privada;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III – demonstrativo, por programa e para cada indicador, do índice alcançado ao término do exercício anterior, comparado com o índice final previsto para o final do quadriênio;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IV – análise, por programa, da possibilidade de alcance do índice final previsto para cada indicador e de cumprimento das metas físicas, relacionando, se for o caso, as medidas corretivas necessárias.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12 -</w:t>
      </w:r>
      <w:r w:rsidRPr="0003640B">
        <w:rPr>
          <w:rFonts w:ascii="Times New Roman" w:hAnsi="Times New Roman"/>
          <w:sz w:val="24"/>
          <w:szCs w:val="24"/>
        </w:rPr>
        <w:t xml:space="preserve"> O Poder Executivo promoverá a participação da sociedade civil organizada no acompanhamento e na avaliação e na revisão do Plano Plurianual nos termos da legislação municipal.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lastRenderedPageBreak/>
        <w:t>Art. 13</w:t>
      </w:r>
      <w:r w:rsidRPr="0003640B">
        <w:rPr>
          <w:rFonts w:ascii="Times New Roman" w:hAnsi="Times New Roman"/>
          <w:sz w:val="24"/>
          <w:szCs w:val="24"/>
        </w:rPr>
        <w:t xml:space="preserve"> - Os órgãos responsáveis pelos programas e ações indicarão servidores que se responsabilizarão pela execução e pelo fornecimento de informações necessárias ao monitoramento da execução e a avaliação do Plano.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14 -</w:t>
      </w:r>
      <w:r w:rsidRPr="0003640B">
        <w:rPr>
          <w:rFonts w:ascii="Times New Roman" w:hAnsi="Times New Roman"/>
          <w:sz w:val="24"/>
          <w:szCs w:val="24"/>
        </w:rPr>
        <w:t xml:space="preserve"> Os servidores responsáveis pela execução dos programas deverão: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>I – elaborar plano gerencial de execução dos programas e submetê-los à apreciação pela Secretaria Municipal do Planejamento e/ou Fazenda;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 – registrar, na forma determinada pela Secretaria Municipal do Planejamento e/ou Fazenda, as informações referentes à execução física e financeira dos programas e ações;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3640B">
        <w:rPr>
          <w:rFonts w:ascii="Times New Roman" w:hAnsi="Times New Roman"/>
          <w:sz w:val="24"/>
          <w:szCs w:val="24"/>
        </w:rPr>
        <w:t xml:space="preserve">III – elaborar periodicamente relatórios de monitoramento e anualmente relatórios de avaliação a serem encaminhados à Secretaria Municipal do Planejamento e/ou Fazenda até o dia 31 de maio do exercício subsequente; </w:t>
      </w:r>
    </w:p>
    <w:p w:rsidR="000A3537" w:rsidRPr="0003640B" w:rsidRDefault="000A3537" w:rsidP="000A3537">
      <w:pPr>
        <w:spacing w:line="360" w:lineRule="auto"/>
        <w:ind w:right="-1" w:firstLine="1701"/>
        <w:jc w:val="both"/>
        <w:rPr>
          <w:rFonts w:ascii="Times New Roman" w:hAnsi="Times New Roman"/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15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03640B">
        <w:rPr>
          <w:rFonts w:ascii="Times New Roman" w:hAnsi="Times New Roman"/>
          <w:sz w:val="24"/>
          <w:szCs w:val="24"/>
        </w:rPr>
        <w:t xml:space="preserve">O Poder Executivo, por intermédio da Secretaria Municipal de Fazenda e Planejamento, divulgará por meio eletrônico no Portal da Prefeitura Municipal a íntegra desta lei, bem como as alterações consolidadas e os relatórios anuais, num prazo de até 60 (sessenta) dias após sua respectiva aprovação. </w:t>
      </w:r>
    </w:p>
    <w:p w:rsidR="000A3537" w:rsidRPr="00E326DF" w:rsidRDefault="000A3537" w:rsidP="000A3537">
      <w:pPr>
        <w:spacing w:line="360" w:lineRule="auto"/>
        <w:ind w:right="-1" w:firstLine="1701"/>
        <w:jc w:val="both"/>
        <w:rPr>
          <w:sz w:val="24"/>
          <w:szCs w:val="24"/>
        </w:rPr>
      </w:pPr>
      <w:r w:rsidRPr="000A3537">
        <w:rPr>
          <w:rFonts w:ascii="Times New Roman" w:hAnsi="Times New Roman"/>
          <w:b/>
          <w:sz w:val="24"/>
          <w:szCs w:val="24"/>
        </w:rPr>
        <w:t>Art. 16</w:t>
      </w:r>
      <w:r w:rsidRPr="0003640B">
        <w:rPr>
          <w:rFonts w:ascii="Times New Roman" w:hAnsi="Times New Roman"/>
          <w:sz w:val="24"/>
          <w:szCs w:val="24"/>
        </w:rPr>
        <w:t xml:space="preserve"> - Esta Lei entra em vigor em 1º de </w:t>
      </w:r>
      <w:r>
        <w:rPr>
          <w:rFonts w:ascii="Times New Roman" w:hAnsi="Times New Roman"/>
          <w:sz w:val="24"/>
          <w:szCs w:val="24"/>
        </w:rPr>
        <w:t>j</w:t>
      </w:r>
      <w:r w:rsidRPr="0003640B">
        <w:rPr>
          <w:rFonts w:ascii="Times New Roman" w:hAnsi="Times New Roman"/>
          <w:sz w:val="24"/>
          <w:szCs w:val="24"/>
        </w:rPr>
        <w:t xml:space="preserve">aneiro de 2022. 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Default="000739BC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12 de novembro de 2021.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0BD" w:rsidRPr="00980DE8" w:rsidRDefault="000739B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0739BC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DC6" w:rsidRDefault="00726DC6" w:rsidP="00481D1B">
      <w:pPr>
        <w:spacing w:after="0" w:line="240" w:lineRule="auto"/>
      </w:pPr>
      <w:r>
        <w:separator/>
      </w:r>
    </w:p>
  </w:endnote>
  <w:endnote w:type="continuationSeparator" w:id="0">
    <w:p w:rsidR="00726DC6" w:rsidRDefault="00726DC6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DC6" w:rsidRDefault="00726DC6" w:rsidP="00481D1B">
      <w:pPr>
        <w:spacing w:after="0" w:line="240" w:lineRule="auto"/>
      </w:pPr>
      <w:r>
        <w:separator/>
      </w:r>
    </w:p>
  </w:footnote>
  <w:footnote w:type="continuationSeparator" w:id="0">
    <w:p w:rsidR="00726DC6" w:rsidRDefault="00726DC6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40B26"/>
    <w:rsid w:val="000433F9"/>
    <w:rsid w:val="00060E04"/>
    <w:rsid w:val="000739BC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6DC6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4D437-734B-4D54-9F9D-22277D1F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1566</Words>
  <Characters>8458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2021-11-09T12:22:00Z</cp:lastPrinted>
  <dcterms:created xsi:type="dcterms:W3CDTF">2021-11-16T12:36:00Z</dcterms:created>
  <dcterms:modified xsi:type="dcterms:W3CDTF">2021-11-16T12:36:00Z</dcterms:modified>
</cp:coreProperties>
</file>