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8177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678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481774" w:rsidRPr="00481774">
        <w:rPr>
          <w:rFonts w:asciiTheme="minorHAnsi" w:eastAsia="Times New Roman" w:hAnsiTheme="minorHAnsi" w:cstheme="minorHAnsi"/>
          <w:sz w:val="24"/>
          <w:szCs w:val="24"/>
          <w:lang w:eastAsia="pt-BR"/>
        </w:rPr>
        <w:t>para que a Prefeitura divulgue tabelas de multas e penalidades por queimadas irregulares, especialmente considerando que o período de queimadas está próximo, mostrando que a prática constitui crime ambiental passível de multas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81774" w:rsidRPr="00481774" w:rsidRDefault="00481774" w:rsidP="0048177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177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justifica pela necessidade de conscientização da população sobre a gravidade da prática de queimadas irregulares, que representa crime ambiental com penalidades severas previstas em legislação municipal, estadual e federal. Diversos municípios brasileiros já regulamentam multas que variam de centenas a dezenas de milhares de reais, conforme a extensão da área queimada e o tipo de resíduo, além de preverem reclusão criminal nos casos mais graves.</w:t>
      </w:r>
    </w:p>
    <w:p w:rsidR="00481774" w:rsidRPr="00481774" w:rsidRDefault="00481774" w:rsidP="0048177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1774">
        <w:rPr>
          <w:rFonts w:asciiTheme="minorHAnsi" w:eastAsia="Times New Roman" w:hAnsiTheme="minorHAnsi" w:cstheme="minorHAnsi"/>
          <w:sz w:val="24"/>
          <w:szCs w:val="24"/>
          <w:lang w:eastAsia="pt-BR"/>
        </w:rPr>
        <w:t>A divulgação oficial dessas tabelas de multas e penalidades por parte da Prefeitura de Pedro Leopoldo tem o condão de prevenir focos de incêndio, especialmente no período de estiagem, proteger a saúde pública dos efeitos da fumaça e inibir práticas criminosas que comprometem o meio ambiente e a segurança coletiva.</w:t>
      </w:r>
    </w:p>
    <w:p w:rsidR="001C2D93" w:rsidRPr="001B4DBD" w:rsidRDefault="00481774" w:rsidP="0048177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481774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requer-se que o Poder Executivo Municipal amplamente divulgue as penalidades aplicáveis às queimadas irregulares, utilizando os canais oficiais de comunicação e meios acessíveis à população, reforçando que tais práticas configuram crime ambiental com sanções exemplificativas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4817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81774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1774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  <w14:docId w14:val="0078450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115A746-2050-4758-AE58-15FC345E1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2026-05-06T15:10:00Z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