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08B886F6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61F0F">
        <w:rPr>
          <w:rFonts w:ascii="Times New Roman" w:hAnsi="Times New Roman" w:cs="Times New Roman"/>
          <w:b/>
          <w:bCs/>
          <w:sz w:val="24"/>
          <w:szCs w:val="24"/>
        </w:rPr>
        <w:t>TRIGÉSIMA</w:t>
      </w:r>
      <w:r w:rsidR="009431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C18A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682AA0">
        <w:rPr>
          <w:rFonts w:ascii="Times New Roman" w:hAnsi="Times New Roman" w:cs="Times New Roman"/>
          <w:b/>
          <w:bCs/>
          <w:sz w:val="24"/>
          <w:szCs w:val="24"/>
        </w:rPr>
        <w:t>ÉTIMA</w:t>
      </w:r>
      <w:r w:rsidR="00D34B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B32A70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682AA0">
        <w:rPr>
          <w:rFonts w:ascii="Times New Roman" w:hAnsi="Times New Roman" w:cs="Times New Roman"/>
          <w:b/>
          <w:bCs/>
          <w:sz w:val="24"/>
          <w:szCs w:val="24"/>
        </w:rPr>
        <w:t>OITAVA</w:t>
      </w:r>
      <w:r w:rsidR="00B32A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682AA0">
        <w:rPr>
          <w:rFonts w:ascii="Times New Roman" w:hAnsi="Times New Roman" w:cs="Times New Roman"/>
          <w:sz w:val="24"/>
          <w:szCs w:val="24"/>
        </w:rPr>
        <w:t>16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DC18A0">
        <w:rPr>
          <w:rFonts w:ascii="Times New Roman" w:hAnsi="Times New Roman" w:cs="Times New Roman"/>
          <w:sz w:val="24"/>
          <w:szCs w:val="24"/>
        </w:rPr>
        <w:t>outu</w:t>
      </w:r>
      <w:r w:rsidR="00461F0F">
        <w:rPr>
          <w:rFonts w:ascii="Times New Roman" w:hAnsi="Times New Roman" w:cs="Times New Roman"/>
          <w:sz w:val="24"/>
          <w:szCs w:val="24"/>
        </w:rPr>
        <w:t>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72CB6734" w14:textId="16D27D94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2AA0">
        <w:rPr>
          <w:rFonts w:ascii="Times New Roman" w:hAnsi="Times New Roman" w:cs="Times New Roman"/>
          <w:bCs/>
          <w:color w:val="000000"/>
          <w:sz w:val="24"/>
          <w:szCs w:val="24"/>
        </w:rPr>
        <w:t>16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outu</w:t>
      </w:r>
      <w:r w:rsidR="00461F0F">
        <w:rPr>
          <w:rFonts w:ascii="Times New Roman" w:hAnsi="Times New Roman" w:cs="Times New Roman"/>
          <w:bCs/>
          <w:color w:val="000000"/>
          <w:sz w:val="24"/>
          <w:szCs w:val="24"/>
        </w:rPr>
        <w:t>bro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012DED">
        <w:rPr>
          <w:rFonts w:ascii="Times New Roman" w:hAnsi="Times New Roman" w:cs="Times New Roman"/>
          <w:bCs/>
          <w:color w:val="000000"/>
          <w:sz w:val="24"/>
          <w:szCs w:val="24"/>
        </w:rPr>
        <w:t>f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encaminhado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Cs/>
          <w:color w:val="000000"/>
          <w:sz w:val="24"/>
          <w:szCs w:val="24"/>
        </w:rPr>
        <w:t>para</w:t>
      </w:r>
      <w:r w:rsidR="00D34B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2AA0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>Discussão e</w:t>
      </w:r>
      <w:r w:rsidR="00AA18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E7CF0">
        <w:rPr>
          <w:rFonts w:ascii="Times New Roman" w:hAnsi="Times New Roman" w:cs="Times New Roman"/>
          <w:bCs/>
          <w:color w:val="000000"/>
          <w:sz w:val="24"/>
          <w:szCs w:val="24"/>
        </w:rPr>
        <w:t>Votação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 o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E09F5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eguinte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Projeto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B32A70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392247D" w14:textId="74BBF1C7" w:rsidR="00B32A70" w:rsidRDefault="00862365" w:rsidP="00DC0F82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2F3A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61F0F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2F3A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C18A0"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nº 083/2023 – </w:t>
      </w:r>
      <w:r w:rsidR="00DC18A0" w:rsidRPr="00DC18A0">
        <w:rPr>
          <w:rFonts w:ascii="Times New Roman" w:hAnsi="Times New Roman" w:cs="Times New Roman"/>
          <w:color w:val="000000"/>
          <w:sz w:val="24"/>
          <w:szCs w:val="24"/>
        </w:rPr>
        <w:t>Ementa: Abre Crédito Especial por Excesso de Arrecadação, e dá outras providencias</w:t>
      </w:r>
      <w:r w:rsidR="00DC18A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8D67F64" w14:textId="5A62F657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C18A0">
        <w:rPr>
          <w:rFonts w:ascii="Times New Roman" w:hAnsi="Times New Roman" w:cs="Times New Roman"/>
          <w:b/>
          <w:color w:val="000000"/>
          <w:sz w:val="24"/>
          <w:szCs w:val="24"/>
        </w:rPr>
        <w:t>Projeto de Lei nº 084/2023</w:t>
      </w:r>
      <w:r w:rsidRPr="00DC18A0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Pr="00DC18A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>Ementa: Abre Crédito Especial por Excesso de Arrecadação, bem como altera-se PPA, LDO e LOA,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11D4F52" w14:textId="0BFC5C79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nº 085/2023 –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 xml:space="preserve"> Ementa: Altera a Lei 046 de 2014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242AFF2" w14:textId="34E0B972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Complementar nº 044/2023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 xml:space="preserve"> – Súmula: Dispõe sobre o Plano Diretor Municipal do Município de Santa Mônica/PR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ACD0DBB" w14:textId="1C6FE346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Complementar nº 045/2023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 xml:space="preserve"> – Súmula: Delimita o Perímetro Urbano do Município de Santa Mônica - PR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E3DAC0F" w14:textId="4B92F82D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Complementar nº 046/2023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>– Súmula: Dispõe sobre o Parcelamento e Uso do Solo do Município de Santa Mônica/PR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58DD446D" w14:textId="0C0D3DF6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7 – Projeto de Lei Complementar nº 047/2023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>Súmula: Dispõe sobre a Lei de Uso e Ocupação do Solo Urbano e Rural do Município de Santa Mônica/PR e dá outras providências;</w:t>
      </w:r>
    </w:p>
    <w:p w14:paraId="6E406C9C" w14:textId="43449A73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 –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Complementar nº 048/2023 – 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>Súmula: Dispõe sobre o Código de Edificações e Obras do Município de Santa Mônica/PR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063AB73C" w14:textId="39419B58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9 –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Complementar nº 049/2023 – 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>Súmula: Dispõe sobre a Lei do Sistema Viários do Município de Santa Mônica/PR e dá outras providencias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9453875" w14:textId="060838D3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10 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Complementar nº 050/2023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 xml:space="preserve"> – Súmula: Dispõe sobre o Código de Posturas do Município de Santa Mônica/PR e dá outras providencias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62B5D2C" w14:textId="63B275BD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11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Complementar nº 051/2023 – 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 xml:space="preserve">Súmula: Dispõe sobre normas </w:t>
      </w:r>
      <w:proofErr w:type="spellStart"/>
      <w:r w:rsidRPr="00DC18A0">
        <w:rPr>
          <w:rFonts w:ascii="Times New Roman" w:hAnsi="Times New Roman" w:cs="Times New Roman"/>
          <w:color w:val="000000"/>
          <w:sz w:val="24"/>
          <w:szCs w:val="24"/>
        </w:rPr>
        <w:t>ara</w:t>
      </w:r>
      <w:proofErr w:type="spellEnd"/>
      <w:r w:rsidRPr="00DC18A0">
        <w:rPr>
          <w:rFonts w:ascii="Times New Roman" w:hAnsi="Times New Roman" w:cs="Times New Roman"/>
          <w:color w:val="000000"/>
          <w:sz w:val="24"/>
          <w:szCs w:val="24"/>
        </w:rPr>
        <w:t xml:space="preserve"> projetos de residências e condomínios horizontais e verticais do Município de Santa Mônica/PR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766D911" w14:textId="1E3F6AC7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12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Complementar nº 052/2023 – 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>Súmula: Dispõe sobre regulamentação do Direito a Preempção de acordo com a Lei de Revisão do Plano Diretor Municipal de Santa Mônica/PR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2CD5A115" w14:textId="0FC83F88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13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Complementar nº 053/2023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 xml:space="preserve"> – Súmula: Dispõe sobre a regulamentação da Outorga Onerosa do Direito de Construir de acordo com a Lei de Revisão do Plano Diretor Municipal de Santa Mônica/PR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1D20337" w14:textId="01AF4EA2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14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Complementar nº 054/2023 –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 xml:space="preserve"> Súmula: Dispõe sobre a Transferência do Direito de Construir de acordo com a Lei de Revisão do Plano Diretor Municipal de Santa Mônica/PR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CF11322" w14:textId="1DEBFD03" w:rsidR="00DC0F82" w:rsidRPr="00DC0F82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15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DC18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Complementar nº 055/2023 – </w:t>
      </w:r>
      <w:r w:rsidRPr="00DC18A0">
        <w:rPr>
          <w:rFonts w:ascii="Times New Roman" w:hAnsi="Times New Roman" w:cs="Times New Roman"/>
          <w:color w:val="000000"/>
          <w:sz w:val="24"/>
          <w:szCs w:val="24"/>
        </w:rPr>
        <w:t>Súmula: Dispõe sobre a regulamentação do Estudo de Impacto de Vizinhança de acordo com a Lei de Revisão do Plano Diretor Municipal de Santa Mônica/PR e dá outras providências.</w:t>
      </w:r>
    </w:p>
    <w:tbl>
      <w:tblPr>
        <w:tblStyle w:val="Tabelacomgrade"/>
        <w:tblpPr w:leftFromText="141" w:rightFromText="141" w:vertAnchor="text" w:horzAnchor="margin" w:tblpY="1143"/>
        <w:tblW w:w="8790" w:type="dxa"/>
        <w:tblLook w:val="04A0" w:firstRow="1" w:lastRow="0" w:firstColumn="1" w:lastColumn="0" w:noHBand="0" w:noVBand="1"/>
      </w:tblPr>
      <w:tblGrid>
        <w:gridCol w:w="4395"/>
        <w:gridCol w:w="4395"/>
      </w:tblGrid>
      <w:tr w:rsidR="00DC0F82" w14:paraId="5DC8DE4A" w14:textId="77777777" w:rsidTr="00DC0F82">
        <w:trPr>
          <w:trHeight w:val="425"/>
        </w:trPr>
        <w:tc>
          <w:tcPr>
            <w:tcW w:w="4395" w:type="dxa"/>
          </w:tcPr>
          <w:p w14:paraId="38E6FD5C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Sidnei Evaristo Ferreira</w:t>
            </w:r>
          </w:p>
        </w:tc>
        <w:tc>
          <w:tcPr>
            <w:tcW w:w="4395" w:type="dxa"/>
          </w:tcPr>
          <w:p w14:paraId="10927616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Vanildo Aparecido Albino</w:t>
            </w:r>
          </w:p>
        </w:tc>
      </w:tr>
      <w:tr w:rsidR="00DC0F82" w14:paraId="664EC12C" w14:textId="77777777" w:rsidTr="00DC0F82">
        <w:trPr>
          <w:trHeight w:val="425"/>
        </w:trPr>
        <w:tc>
          <w:tcPr>
            <w:tcW w:w="4395" w:type="dxa"/>
          </w:tcPr>
          <w:p w14:paraId="7E04B4D7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Presidente</w:t>
            </w:r>
          </w:p>
        </w:tc>
        <w:tc>
          <w:tcPr>
            <w:tcW w:w="4395" w:type="dxa"/>
          </w:tcPr>
          <w:p w14:paraId="159A94E5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Secretário</w:t>
            </w:r>
          </w:p>
        </w:tc>
      </w:tr>
    </w:tbl>
    <w:p w14:paraId="1F2C9613" w14:textId="77777777" w:rsidR="00363000" w:rsidRDefault="00363000" w:rsidP="00B32A70">
      <w:pPr>
        <w:ind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3630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7D595" w14:textId="77777777" w:rsidR="0061147A" w:rsidRDefault="0061147A" w:rsidP="00E0793F">
      <w:pPr>
        <w:spacing w:after="0" w:line="240" w:lineRule="auto"/>
      </w:pPr>
      <w:r>
        <w:separator/>
      </w:r>
    </w:p>
  </w:endnote>
  <w:endnote w:type="continuationSeparator" w:id="0">
    <w:p w14:paraId="7D105384" w14:textId="77777777" w:rsidR="0061147A" w:rsidRDefault="0061147A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9D534" w14:textId="77777777" w:rsidR="0061147A" w:rsidRDefault="0061147A" w:rsidP="00E0793F">
      <w:pPr>
        <w:spacing w:after="0" w:line="240" w:lineRule="auto"/>
      </w:pPr>
      <w:r>
        <w:separator/>
      </w:r>
    </w:p>
  </w:footnote>
  <w:footnote w:type="continuationSeparator" w:id="0">
    <w:p w14:paraId="095DA699" w14:textId="77777777" w:rsidR="0061147A" w:rsidRDefault="0061147A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682AA0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12DED"/>
    <w:rsid w:val="000D01AE"/>
    <w:rsid w:val="000D14AD"/>
    <w:rsid w:val="000E2DB3"/>
    <w:rsid w:val="00126C13"/>
    <w:rsid w:val="002152B2"/>
    <w:rsid w:val="002A4EFB"/>
    <w:rsid w:val="002F3A61"/>
    <w:rsid w:val="00363000"/>
    <w:rsid w:val="003F0F63"/>
    <w:rsid w:val="00433283"/>
    <w:rsid w:val="0043591E"/>
    <w:rsid w:val="0043636A"/>
    <w:rsid w:val="00461F0F"/>
    <w:rsid w:val="0049668F"/>
    <w:rsid w:val="004B4140"/>
    <w:rsid w:val="004D580D"/>
    <w:rsid w:val="005A72EA"/>
    <w:rsid w:val="0061147A"/>
    <w:rsid w:val="00682AA0"/>
    <w:rsid w:val="006E09F5"/>
    <w:rsid w:val="006E7CF0"/>
    <w:rsid w:val="00862365"/>
    <w:rsid w:val="008A55F7"/>
    <w:rsid w:val="008C0CE7"/>
    <w:rsid w:val="008C76BB"/>
    <w:rsid w:val="00902FD9"/>
    <w:rsid w:val="009104B4"/>
    <w:rsid w:val="00943103"/>
    <w:rsid w:val="00980AE8"/>
    <w:rsid w:val="00AA18A8"/>
    <w:rsid w:val="00AC2647"/>
    <w:rsid w:val="00B32A70"/>
    <w:rsid w:val="00BC3104"/>
    <w:rsid w:val="00BD73BC"/>
    <w:rsid w:val="00D34B0E"/>
    <w:rsid w:val="00D675EA"/>
    <w:rsid w:val="00D83933"/>
    <w:rsid w:val="00DC0F82"/>
    <w:rsid w:val="00DC18A0"/>
    <w:rsid w:val="00DF1E21"/>
    <w:rsid w:val="00E0793F"/>
    <w:rsid w:val="00E73100"/>
    <w:rsid w:val="00E90FA1"/>
    <w:rsid w:val="00EE348B"/>
    <w:rsid w:val="00EF20D3"/>
    <w:rsid w:val="00F443ED"/>
    <w:rsid w:val="00F45FA4"/>
    <w:rsid w:val="00F52CEC"/>
    <w:rsid w:val="00F9732D"/>
    <w:rsid w:val="00FA4649"/>
    <w:rsid w:val="00FB32C0"/>
    <w:rsid w:val="00FE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 OAB/PR 98.476</cp:lastModifiedBy>
  <cp:revision>2</cp:revision>
  <dcterms:created xsi:type="dcterms:W3CDTF">2023-12-20T12:26:00Z</dcterms:created>
  <dcterms:modified xsi:type="dcterms:W3CDTF">2023-12-20T12:26:00Z</dcterms:modified>
</cp:coreProperties>
</file>