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3E64B4" w:rsidRDefault="003E64B4">
      <w:pPr>
        <w:widowControl w:val="0"/>
        <w:pBdr>
          <w:top w:val="nil"/>
          <w:left w:val="nil"/>
          <w:bottom w:val="nil"/>
          <w:right w:val="nil"/>
          <w:between w:val="nil"/>
        </w:pBdr>
        <w:spacing w:after="0" w:line="276" w:lineRule="auto"/>
      </w:pPr>
    </w:p>
    <w:p w14:paraId="00000002" w14:textId="77777777" w:rsidR="003E64B4" w:rsidRDefault="003E64B4">
      <w:pPr>
        <w:widowControl w:val="0"/>
        <w:pBdr>
          <w:top w:val="nil"/>
          <w:left w:val="nil"/>
          <w:bottom w:val="nil"/>
          <w:right w:val="nil"/>
          <w:between w:val="nil"/>
        </w:pBdr>
        <w:spacing w:after="0" w:line="276" w:lineRule="auto"/>
      </w:pPr>
    </w:p>
    <w:p w14:paraId="00000003" w14:textId="77777777" w:rsidR="003E64B4" w:rsidRDefault="003E64B4">
      <w:pPr>
        <w:widowControl w:val="0"/>
        <w:pBdr>
          <w:top w:val="nil"/>
          <w:left w:val="nil"/>
          <w:bottom w:val="nil"/>
          <w:right w:val="nil"/>
          <w:between w:val="nil"/>
        </w:pBdr>
        <w:spacing w:after="0" w:line="276" w:lineRule="auto"/>
      </w:pPr>
    </w:p>
    <w:p w14:paraId="00000004" w14:textId="77777777" w:rsidR="003E64B4" w:rsidRDefault="003E64B4">
      <w:pPr>
        <w:rPr>
          <w:rFonts w:ascii="Times New Roman" w:eastAsia="Times New Roman" w:hAnsi="Times New Roman" w:cs="Times New Roman"/>
          <w:sz w:val="24"/>
          <w:szCs w:val="24"/>
        </w:rPr>
      </w:pPr>
    </w:p>
    <w:p w14:paraId="00000005" w14:textId="0289F824" w:rsidR="003E64B4" w:rsidRDefault="004D72A4">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MENSAGEM Nº </w:t>
      </w:r>
      <w:r w:rsidR="00B9542B">
        <w:rPr>
          <w:rFonts w:ascii="Times New Roman" w:eastAsia="Times New Roman" w:hAnsi="Times New Roman" w:cs="Times New Roman"/>
          <w:sz w:val="24"/>
          <w:szCs w:val="24"/>
        </w:rPr>
        <w:t>29</w:t>
      </w:r>
      <w:r>
        <w:rPr>
          <w:rFonts w:ascii="Times New Roman" w:eastAsia="Times New Roman" w:hAnsi="Times New Roman" w:cs="Times New Roman"/>
          <w:sz w:val="24"/>
          <w:szCs w:val="24"/>
        </w:rPr>
        <w:t>/2024.</w:t>
      </w:r>
    </w:p>
    <w:p w14:paraId="00000006" w14:textId="77777777" w:rsidR="003E64B4" w:rsidRDefault="003E64B4">
      <w:pPr>
        <w:rPr>
          <w:rFonts w:ascii="Times New Roman" w:eastAsia="Times New Roman" w:hAnsi="Times New Roman" w:cs="Times New Roman"/>
          <w:sz w:val="24"/>
          <w:szCs w:val="24"/>
          <w:u w:val="single"/>
        </w:rPr>
      </w:pPr>
    </w:p>
    <w:p w14:paraId="00000007" w14:textId="77777777" w:rsidR="003E64B4" w:rsidRDefault="003E64B4">
      <w:pPr>
        <w:rPr>
          <w:rFonts w:ascii="Times New Roman" w:eastAsia="Times New Roman" w:hAnsi="Times New Roman" w:cs="Times New Roman"/>
          <w:sz w:val="24"/>
          <w:szCs w:val="24"/>
        </w:rPr>
      </w:pPr>
    </w:p>
    <w:p w14:paraId="00000008" w14:textId="77777777" w:rsidR="003E64B4" w:rsidRDefault="004D72A4">
      <w:pPr>
        <w:rPr>
          <w:rFonts w:ascii="Times New Roman" w:eastAsia="Times New Roman" w:hAnsi="Times New Roman" w:cs="Times New Roman"/>
          <w:sz w:val="24"/>
          <w:szCs w:val="24"/>
        </w:rPr>
      </w:pPr>
      <w:r>
        <w:rPr>
          <w:rFonts w:ascii="Times New Roman" w:eastAsia="Times New Roman" w:hAnsi="Times New Roman" w:cs="Times New Roman"/>
          <w:sz w:val="24"/>
          <w:szCs w:val="24"/>
        </w:rPr>
        <w:t>Ilmo. Sr.</w:t>
      </w:r>
    </w:p>
    <w:p w14:paraId="00000009" w14:textId="77777777" w:rsidR="003E64B4" w:rsidRDefault="004D72A4">
      <w:pPr>
        <w:rPr>
          <w:rFonts w:ascii="Times New Roman" w:eastAsia="Times New Roman" w:hAnsi="Times New Roman" w:cs="Times New Roman"/>
          <w:sz w:val="24"/>
          <w:szCs w:val="24"/>
        </w:rPr>
      </w:pPr>
      <w:r>
        <w:rPr>
          <w:rFonts w:ascii="Times New Roman" w:eastAsia="Times New Roman" w:hAnsi="Times New Roman" w:cs="Times New Roman"/>
          <w:sz w:val="24"/>
          <w:szCs w:val="24"/>
        </w:rPr>
        <w:t>Leandro Schein</w:t>
      </w:r>
    </w:p>
    <w:p w14:paraId="0000000A" w14:textId="77777777" w:rsidR="003E64B4" w:rsidRDefault="004D72A4">
      <w:pPr>
        <w:rPr>
          <w:rFonts w:ascii="Times New Roman" w:eastAsia="Times New Roman" w:hAnsi="Times New Roman" w:cs="Times New Roman"/>
          <w:sz w:val="24"/>
          <w:szCs w:val="24"/>
        </w:rPr>
      </w:pPr>
      <w:r>
        <w:rPr>
          <w:rFonts w:ascii="Times New Roman" w:eastAsia="Times New Roman" w:hAnsi="Times New Roman" w:cs="Times New Roman"/>
          <w:sz w:val="24"/>
          <w:szCs w:val="24"/>
        </w:rPr>
        <w:t>Presidente da Câmara de Vereadores</w:t>
      </w:r>
    </w:p>
    <w:p w14:paraId="0000000B" w14:textId="77777777" w:rsidR="003E64B4" w:rsidRDefault="003E64B4">
      <w:pPr>
        <w:tabs>
          <w:tab w:val="left" w:pos="1701"/>
        </w:tabs>
        <w:rPr>
          <w:rFonts w:ascii="Times New Roman" w:eastAsia="Times New Roman" w:hAnsi="Times New Roman" w:cs="Times New Roman"/>
          <w:sz w:val="24"/>
          <w:szCs w:val="24"/>
        </w:rPr>
      </w:pPr>
    </w:p>
    <w:p w14:paraId="0000000C" w14:textId="77777777" w:rsidR="003E64B4" w:rsidRDefault="004D72A4">
      <w:pPr>
        <w:tabs>
          <w:tab w:val="left" w:pos="1134"/>
        </w:tabs>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b/>
          <w:sz w:val="24"/>
          <w:szCs w:val="24"/>
          <w:u w:val="single"/>
        </w:rPr>
        <w:t>Exposição de Motivos</w:t>
      </w:r>
      <w:r>
        <w:rPr>
          <w:rFonts w:ascii="Times New Roman" w:eastAsia="Times New Roman" w:hAnsi="Times New Roman" w:cs="Times New Roman"/>
          <w:b/>
          <w:sz w:val="24"/>
          <w:szCs w:val="24"/>
        </w:rPr>
        <w:t>.</w:t>
      </w:r>
    </w:p>
    <w:p w14:paraId="0000000D" w14:textId="77777777" w:rsidR="003E64B4" w:rsidRDefault="004D72A4">
      <w:pPr>
        <w:tabs>
          <w:tab w:val="left" w:pos="1134"/>
        </w:tabs>
        <w:jc w:val="both"/>
        <w:rPr>
          <w:rFonts w:ascii="Times New Roman" w:eastAsia="Times New Roman" w:hAnsi="Times New Roman" w:cs="Times New Roman"/>
          <w:color w:val="000000"/>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color w:val="000000"/>
          <w:sz w:val="24"/>
          <w:szCs w:val="24"/>
        </w:rPr>
        <w:t>O Poder Executivo Municipal, diante da necessidade de efetivar melhorias nas vias urbanas de nosso município e, com intenção de possibilitar o favorecimento do tráfego urbano, apresenta à Vossas Excelências o presente Projeto de Lei.</w:t>
      </w:r>
    </w:p>
    <w:p w14:paraId="0000000E" w14:textId="77777777" w:rsidR="003E64B4" w:rsidRDefault="004D72A4">
      <w:pPr>
        <w:tabs>
          <w:tab w:val="left" w:pos="1134"/>
        </w:tabs>
        <w:jc w:val="both"/>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ab/>
        <w:t>O presente projeto de</w:t>
      </w:r>
      <w:r>
        <w:rPr>
          <w:rFonts w:ascii="Times New Roman" w:eastAsia="Times New Roman" w:hAnsi="Times New Roman" w:cs="Times New Roman"/>
          <w:color w:val="000000"/>
          <w:sz w:val="24"/>
          <w:szCs w:val="24"/>
        </w:rPr>
        <w:t xml:space="preserve"> Lei leva em consideração o Termo de Cooperação Técnica celebrado pelo Município com o Ministério Público em 25 de março de 2014, que impõe aperfeiçoamentos e </w:t>
      </w:r>
      <w:r>
        <w:rPr>
          <w:rFonts w:ascii="Times New Roman" w:eastAsia="Times New Roman" w:hAnsi="Times New Roman" w:cs="Times New Roman"/>
          <w:sz w:val="24"/>
          <w:szCs w:val="24"/>
        </w:rPr>
        <w:t>providências</w:t>
      </w:r>
      <w:r>
        <w:rPr>
          <w:rFonts w:ascii="Times New Roman" w:eastAsia="Times New Roman" w:hAnsi="Times New Roman" w:cs="Times New Roman"/>
          <w:color w:val="000000"/>
          <w:sz w:val="24"/>
          <w:szCs w:val="24"/>
        </w:rPr>
        <w:t xml:space="preserve"> decorrentes da legislação tributária.</w:t>
      </w:r>
    </w:p>
    <w:p w14:paraId="0000000F" w14:textId="77777777" w:rsidR="003E64B4" w:rsidRDefault="004D72A4">
      <w:pPr>
        <w:pBdr>
          <w:top w:val="nil"/>
          <w:left w:val="nil"/>
          <w:bottom w:val="nil"/>
          <w:right w:val="nil"/>
          <w:between w:val="nil"/>
        </w:pBdr>
        <w:tabs>
          <w:tab w:val="left" w:pos="1134"/>
        </w:tabs>
        <w:spacing w:after="119"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 xml:space="preserve">Considerando que a Contribuição de Melhoria é um tributo que tem por hipótese de incidência uma atuação estatal indiretamente referida ao contribuinte, uma vez que assim o exige a Constituição Federal de 1988, </w:t>
      </w:r>
      <w:r>
        <w:rPr>
          <w:rFonts w:ascii="Times New Roman" w:eastAsia="Times New Roman" w:hAnsi="Times New Roman" w:cs="Times New Roman"/>
          <w:sz w:val="24"/>
          <w:szCs w:val="24"/>
        </w:rPr>
        <w:t>especificamente</w:t>
      </w:r>
      <w:r>
        <w:rPr>
          <w:rFonts w:ascii="Times New Roman" w:eastAsia="Times New Roman" w:hAnsi="Times New Roman" w:cs="Times New Roman"/>
          <w:color w:val="000000"/>
          <w:sz w:val="24"/>
          <w:szCs w:val="24"/>
        </w:rPr>
        <w:t xml:space="preserve"> em seu artigo 145, inciso III </w:t>
      </w:r>
      <w:r>
        <w:rPr>
          <w:rFonts w:ascii="Times New Roman" w:eastAsia="Times New Roman" w:hAnsi="Times New Roman" w:cs="Times New Roman"/>
          <w:color w:val="000000"/>
          <w:sz w:val="24"/>
          <w:szCs w:val="24"/>
        </w:rPr>
        <w:t xml:space="preserve">ao dispor </w:t>
      </w:r>
      <w:r>
        <w:rPr>
          <w:rFonts w:ascii="Times New Roman" w:eastAsia="Times New Roman" w:hAnsi="Times New Roman" w:cs="Times New Roman"/>
          <w:sz w:val="24"/>
          <w:szCs w:val="24"/>
        </w:rPr>
        <w:t>que</w:t>
      </w:r>
      <w:r>
        <w:rPr>
          <w:rFonts w:ascii="Times New Roman" w:eastAsia="Times New Roman" w:hAnsi="Times New Roman" w:cs="Times New Roman"/>
          <w:color w:val="000000"/>
          <w:sz w:val="24"/>
          <w:szCs w:val="24"/>
        </w:rPr>
        <w:t>: “Art. 145. A União, os Estados, o Distrito Federal e os Municípios poderão instituir os seguintes tributos: (...) III - contribuição de melhoria, decorrente de obras públicas”.</w:t>
      </w:r>
    </w:p>
    <w:p w14:paraId="00000010" w14:textId="77777777" w:rsidR="003E64B4" w:rsidRDefault="004D72A4">
      <w:pPr>
        <w:pBdr>
          <w:top w:val="nil"/>
          <w:left w:val="nil"/>
          <w:bottom w:val="nil"/>
          <w:right w:val="nil"/>
          <w:between w:val="nil"/>
        </w:pBdr>
        <w:tabs>
          <w:tab w:val="left" w:pos="1134"/>
        </w:tabs>
        <w:spacing w:after="119"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Assim, esta atuação estatal somente pode consistir em obra públ</w:t>
      </w:r>
      <w:r>
        <w:rPr>
          <w:rFonts w:ascii="Times New Roman" w:eastAsia="Times New Roman" w:hAnsi="Times New Roman" w:cs="Times New Roman"/>
          <w:color w:val="000000"/>
          <w:sz w:val="24"/>
          <w:szCs w:val="24"/>
        </w:rPr>
        <w:t>ica que promova valorização imobiliária, ou seja, aumente o valor de mercado dos imóveis diretamente beneficiados. Desta forma é considerado um tributo indiretamente vinculado a uma atuação estatal que, no caso, é a obra pública.</w:t>
      </w:r>
    </w:p>
    <w:p w14:paraId="00000011" w14:textId="77777777" w:rsidR="003E64B4" w:rsidRDefault="004D72A4">
      <w:pPr>
        <w:pBdr>
          <w:top w:val="nil"/>
          <w:left w:val="nil"/>
          <w:bottom w:val="nil"/>
          <w:right w:val="nil"/>
          <w:between w:val="nil"/>
        </w:pBdr>
        <w:tabs>
          <w:tab w:val="left" w:pos="1134"/>
        </w:tabs>
        <w:spacing w:after="119"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A contribuição de melhori</w:t>
      </w:r>
      <w:r>
        <w:rPr>
          <w:rFonts w:ascii="Times New Roman" w:eastAsia="Times New Roman" w:hAnsi="Times New Roman" w:cs="Times New Roman"/>
          <w:color w:val="000000"/>
          <w:sz w:val="24"/>
          <w:szCs w:val="24"/>
        </w:rPr>
        <w:t>a descrita em nosso ordenamento jurídico, na Constituição Federal de 1988, no Código Tributário Nacional art.81 e 82 (Lei nº. 5.172/1966) e no Decreto-lei nº. 195/1967, o qual complementou o CTN, apresentam como fato gerador o acréscimo do valor dos imóvei</w:t>
      </w:r>
      <w:r>
        <w:rPr>
          <w:rFonts w:ascii="Times New Roman" w:eastAsia="Times New Roman" w:hAnsi="Times New Roman" w:cs="Times New Roman"/>
          <w:color w:val="000000"/>
          <w:sz w:val="24"/>
          <w:szCs w:val="24"/>
        </w:rPr>
        <w:t>s localizados nas áreas de influência, segundo o maior ou menor benefício, na forma direta no presente caso. Desta forma, cabe ao Município seguir os delineamentos de tais diplomas para cumprir determinação Federal na sua esfera de atuação.</w:t>
      </w:r>
    </w:p>
    <w:p w14:paraId="00000012" w14:textId="77777777" w:rsidR="003E64B4" w:rsidRDefault="004D72A4">
      <w:pPr>
        <w:pBdr>
          <w:top w:val="nil"/>
          <w:left w:val="nil"/>
          <w:bottom w:val="nil"/>
          <w:right w:val="nil"/>
          <w:between w:val="nil"/>
        </w:pBdr>
        <w:tabs>
          <w:tab w:val="left" w:pos="1134"/>
        </w:tabs>
        <w:spacing w:after="119"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 xml:space="preserve">Já a Lei de Responsabilidade Fiscal (Lei Complementar nº. 101/2000), dispõe em seu art. 11 e parágrafo único, </w:t>
      </w:r>
      <w:r>
        <w:rPr>
          <w:rFonts w:ascii="Times New Roman" w:eastAsia="Times New Roman" w:hAnsi="Times New Roman" w:cs="Times New Roman"/>
          <w:i/>
          <w:color w:val="000000"/>
          <w:sz w:val="24"/>
          <w:szCs w:val="24"/>
        </w:rPr>
        <w:t>que constituem requisitos essenciais da responsabilidade na gestão fiscal a instituição, previsão e efetiva arrecadação de todos os tributos da co</w:t>
      </w:r>
      <w:r>
        <w:rPr>
          <w:rFonts w:ascii="Times New Roman" w:eastAsia="Times New Roman" w:hAnsi="Times New Roman" w:cs="Times New Roman"/>
          <w:i/>
          <w:color w:val="000000"/>
          <w:sz w:val="24"/>
          <w:szCs w:val="24"/>
        </w:rPr>
        <w:t>mpetência constitucional do ente da Federação</w:t>
      </w:r>
      <w:r>
        <w:rPr>
          <w:rFonts w:ascii="Times New Roman" w:eastAsia="Times New Roman" w:hAnsi="Times New Roman" w:cs="Times New Roman"/>
          <w:color w:val="000000"/>
          <w:sz w:val="24"/>
          <w:szCs w:val="24"/>
        </w:rPr>
        <w:t>. Não bastasse este diploma legal imputa sanções administrativas ao Ente Federado, como o impedimento de receber transferências voluntárias, a proibição de contratar operações de crédito e prestação de garantias</w:t>
      </w:r>
      <w:r>
        <w:rPr>
          <w:rFonts w:ascii="Times New Roman" w:eastAsia="Times New Roman" w:hAnsi="Times New Roman" w:cs="Times New Roman"/>
          <w:color w:val="000000"/>
          <w:sz w:val="24"/>
          <w:szCs w:val="24"/>
        </w:rPr>
        <w:t xml:space="preserve"> e </w:t>
      </w:r>
      <w:r>
        <w:rPr>
          <w:rFonts w:ascii="Times New Roman" w:eastAsia="Times New Roman" w:hAnsi="Times New Roman" w:cs="Times New Roman"/>
          <w:sz w:val="24"/>
          <w:szCs w:val="24"/>
        </w:rPr>
        <w:t>contragarantias</w:t>
      </w:r>
      <w:r>
        <w:rPr>
          <w:rFonts w:ascii="Times New Roman" w:eastAsia="Times New Roman" w:hAnsi="Times New Roman" w:cs="Times New Roman"/>
          <w:color w:val="000000"/>
          <w:sz w:val="24"/>
          <w:szCs w:val="24"/>
        </w:rPr>
        <w:t xml:space="preserve">, sendo que os gestores públicos e ordenadores de despesa serão responsabilizados pelo descumprimento de suas normas, sem deixar </w:t>
      </w:r>
      <w:r>
        <w:rPr>
          <w:rFonts w:ascii="Times New Roman" w:eastAsia="Times New Roman" w:hAnsi="Times New Roman" w:cs="Times New Roman"/>
          <w:color w:val="000000"/>
          <w:sz w:val="24"/>
          <w:szCs w:val="24"/>
        </w:rPr>
        <w:lastRenderedPageBreak/>
        <w:t>de lado o Decreto-lei nº.201/1967 que prescreve sobre a responsabilidade dos Prefeitos e Vereadores.</w:t>
      </w:r>
    </w:p>
    <w:p w14:paraId="00000013" w14:textId="77777777" w:rsidR="003E64B4" w:rsidRDefault="004D72A4">
      <w:pPr>
        <w:pBdr>
          <w:top w:val="nil"/>
          <w:left w:val="nil"/>
          <w:bottom w:val="nil"/>
          <w:right w:val="nil"/>
          <w:between w:val="nil"/>
        </w:pBdr>
        <w:tabs>
          <w:tab w:val="left" w:pos="1134"/>
        </w:tabs>
        <w:spacing w:after="119" w:line="24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ab/>
        <w:t>O Estat</w:t>
      </w:r>
      <w:r>
        <w:rPr>
          <w:rFonts w:ascii="Times New Roman" w:eastAsia="Times New Roman" w:hAnsi="Times New Roman" w:cs="Times New Roman"/>
          <w:color w:val="000000"/>
          <w:sz w:val="24"/>
          <w:szCs w:val="24"/>
        </w:rPr>
        <w:t xml:space="preserve">uto da Cidade (Lei nº10.257, de 10 de julho de 2001, estabelece as diretrizes gerais da política urbana, destacando na redação do seu artigo 2º, que </w:t>
      </w:r>
      <w:r>
        <w:rPr>
          <w:rFonts w:ascii="Times New Roman" w:eastAsia="Times New Roman" w:hAnsi="Times New Roman" w:cs="Times New Roman"/>
          <w:i/>
          <w:color w:val="000000"/>
          <w:sz w:val="24"/>
          <w:szCs w:val="24"/>
        </w:rPr>
        <w:t>“A política urbana tem por objetivo ordenar o pleno desenvolvimento das funções sociais da cidade e da prop</w:t>
      </w:r>
      <w:r>
        <w:rPr>
          <w:rFonts w:ascii="Times New Roman" w:eastAsia="Times New Roman" w:hAnsi="Times New Roman" w:cs="Times New Roman"/>
          <w:i/>
          <w:color w:val="000000"/>
          <w:sz w:val="24"/>
          <w:szCs w:val="24"/>
        </w:rPr>
        <w:t>riedade urbana, mediante as seguintes diretrizes gerais: (...) XI - recuperação dos investimentos do Poder Público de que tenha resultado a valorização de imóveis urbanos”.</w:t>
      </w:r>
    </w:p>
    <w:p w14:paraId="00000014" w14:textId="77777777" w:rsidR="003E64B4" w:rsidRDefault="004D72A4">
      <w:pPr>
        <w:pBdr>
          <w:top w:val="nil"/>
          <w:left w:val="nil"/>
          <w:bottom w:val="nil"/>
          <w:right w:val="nil"/>
          <w:between w:val="nil"/>
        </w:pBdr>
        <w:tabs>
          <w:tab w:val="left" w:pos="1134"/>
        </w:tabs>
        <w:spacing w:after="119"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Considerando que a execução das obras de</w:t>
      </w:r>
      <w:r>
        <w:rPr>
          <w:rFonts w:ascii="Times New Roman" w:eastAsia="Times New Roman" w:hAnsi="Times New Roman" w:cs="Times New Roman"/>
          <w:b/>
          <w:color w:val="000000"/>
          <w:sz w:val="24"/>
          <w:szCs w:val="24"/>
        </w:rPr>
        <w:t xml:space="preserve"> PAVIMENTAÇÃO </w:t>
      </w:r>
      <w:r>
        <w:rPr>
          <w:rFonts w:ascii="Times New Roman" w:eastAsia="Times New Roman" w:hAnsi="Times New Roman" w:cs="Times New Roman"/>
          <w:b/>
          <w:sz w:val="24"/>
          <w:szCs w:val="24"/>
        </w:rPr>
        <w:t>ASFÁLTICA EM C.B.U.Q E PINTU</w:t>
      </w:r>
      <w:r>
        <w:rPr>
          <w:rFonts w:ascii="Times New Roman" w:eastAsia="Times New Roman" w:hAnsi="Times New Roman" w:cs="Times New Roman"/>
          <w:b/>
          <w:sz w:val="24"/>
          <w:szCs w:val="24"/>
        </w:rPr>
        <w:t>RA DE SINALIZAÇÃO VIÁRIA</w:t>
      </w:r>
      <w:r>
        <w:rPr>
          <w:rFonts w:ascii="Times New Roman" w:eastAsia="Times New Roman" w:hAnsi="Times New Roman" w:cs="Times New Roman"/>
          <w:color w:val="000000"/>
          <w:sz w:val="24"/>
          <w:szCs w:val="24"/>
        </w:rPr>
        <w:t xml:space="preserve"> tendo como limite global a despesa realizada da obra e, como limite individual, o acréscimo de valor que resultar para cada imóvel, compreendendo aqueles situados nas ruas abaixo relacionadas:</w:t>
      </w:r>
    </w:p>
    <w:p w14:paraId="00000015" w14:textId="77777777" w:rsidR="003E64B4" w:rsidRDefault="004D72A4">
      <w:pPr>
        <w:widowControl w:val="0"/>
        <w:numPr>
          <w:ilvl w:val="0"/>
          <w:numId w:val="1"/>
        </w:numPr>
        <w:pBdr>
          <w:top w:val="nil"/>
          <w:left w:val="nil"/>
          <w:bottom w:val="nil"/>
          <w:right w:val="nil"/>
          <w:between w:val="nil"/>
        </w:pBd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SETE DE SETEMBRO: A: 2.205,54 m² -</w:t>
      </w:r>
      <w:r>
        <w:rPr>
          <w:rFonts w:ascii="Times New Roman" w:eastAsia="Times New Roman" w:hAnsi="Times New Roman" w:cs="Times New Roman"/>
          <w:b/>
          <w:smallCaps/>
          <w:sz w:val="24"/>
          <w:szCs w:val="24"/>
        </w:rPr>
        <w:t xml:space="preserve"> (Trecho compreendido entre a Avenida Santa Rosa e a Rua Santa Catarina).  </w:t>
      </w:r>
    </w:p>
    <w:p w14:paraId="00000016" w14:textId="77777777" w:rsidR="003E64B4" w:rsidRDefault="004D72A4">
      <w:pPr>
        <w:widowControl w:val="0"/>
        <w:pBdr>
          <w:top w:val="nil"/>
          <w:left w:val="nil"/>
          <w:bottom w:val="nil"/>
          <w:right w:val="nil"/>
          <w:between w:val="nil"/>
        </w:pBdr>
        <w:shd w:val="clear" w:color="auto" w:fill="FFFFFF"/>
        <w:tabs>
          <w:tab w:val="left" w:pos="1134"/>
        </w:tabs>
        <w:spacing w:before="180" w:after="0" w:line="240" w:lineRule="auto"/>
        <w:ind w:left="720"/>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 xml:space="preserve"> </w:t>
      </w:r>
    </w:p>
    <w:p w14:paraId="00000017" w14:textId="77777777" w:rsidR="003E64B4" w:rsidRDefault="004D72A4">
      <w:pPr>
        <w:pBdr>
          <w:top w:val="nil"/>
          <w:left w:val="nil"/>
          <w:bottom w:val="nil"/>
          <w:right w:val="nil"/>
          <w:between w:val="nil"/>
        </w:pBdr>
        <w:tabs>
          <w:tab w:val="left" w:pos="1134"/>
        </w:tabs>
        <w:spacing w:after="119"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 xml:space="preserve">Considerando que a </w:t>
      </w:r>
      <w:r>
        <w:rPr>
          <w:rFonts w:ascii="Times New Roman" w:eastAsia="Times New Roman" w:hAnsi="Times New Roman" w:cs="Times New Roman"/>
          <w:sz w:val="24"/>
          <w:szCs w:val="24"/>
        </w:rPr>
        <w:t>pavimentação asfáltica em C.B.U.Q</w:t>
      </w:r>
      <w:r>
        <w:rPr>
          <w:rFonts w:ascii="Times New Roman" w:eastAsia="Times New Roman" w:hAnsi="Times New Roman" w:cs="Times New Roman"/>
          <w:color w:val="000000"/>
          <w:sz w:val="24"/>
          <w:szCs w:val="24"/>
        </w:rPr>
        <w:t xml:space="preserve"> e serviços complementares proporcionarão maiores comodidades aos moradores das zonas diretas de influência, bem como ao comércio, munícipes e visitantes que por ali necessitem trafegar.</w:t>
      </w:r>
    </w:p>
    <w:p w14:paraId="00000018" w14:textId="77777777" w:rsidR="003E64B4" w:rsidRDefault="004D72A4">
      <w:pPr>
        <w:pBdr>
          <w:top w:val="nil"/>
          <w:left w:val="nil"/>
          <w:bottom w:val="nil"/>
          <w:right w:val="nil"/>
          <w:between w:val="nil"/>
        </w:pBdr>
        <w:tabs>
          <w:tab w:val="left" w:pos="1134"/>
        </w:tabs>
        <w:spacing w:after="119"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Sendo assim, apresentamos para análise, onde contamos com a manifest</w:t>
      </w:r>
      <w:r>
        <w:rPr>
          <w:rFonts w:ascii="Times New Roman" w:eastAsia="Times New Roman" w:hAnsi="Times New Roman" w:cs="Times New Roman"/>
          <w:color w:val="000000"/>
          <w:sz w:val="24"/>
          <w:szCs w:val="24"/>
        </w:rPr>
        <w:t>ação favorável, por parte de Vossas Excelências, quando da votação do presente projeto de Lei, ao mesmo tempo em que aproveitamos o ensejo para apresentar nossos protestos de estima e consideração.</w:t>
      </w:r>
    </w:p>
    <w:p w14:paraId="00000019" w14:textId="77777777" w:rsidR="003E64B4" w:rsidRDefault="004D72A4">
      <w:pPr>
        <w:pBdr>
          <w:top w:val="nil"/>
          <w:left w:val="nil"/>
          <w:bottom w:val="nil"/>
          <w:right w:val="nil"/>
          <w:between w:val="nil"/>
        </w:pBdr>
        <w:tabs>
          <w:tab w:val="left" w:pos="1701"/>
        </w:tabs>
        <w:spacing w:after="0" w:line="240" w:lineRule="auto"/>
        <w:jc w:val="center"/>
        <w:rPr>
          <w:smallCaps/>
          <w:color w:val="000000"/>
          <w:sz w:val="26"/>
          <w:szCs w:val="26"/>
        </w:rPr>
      </w:pPr>
      <w:r>
        <w:rPr>
          <w:smallCaps/>
          <w:color w:val="000000"/>
          <w:sz w:val="26"/>
          <w:szCs w:val="26"/>
        </w:rPr>
        <w:t xml:space="preserve">Gabinete do Prefeito Municipal de Princesa, </w:t>
      </w:r>
    </w:p>
    <w:p w14:paraId="0000001A" w14:textId="77777777" w:rsidR="003E64B4" w:rsidRDefault="004D72A4">
      <w:pPr>
        <w:pBdr>
          <w:top w:val="nil"/>
          <w:left w:val="nil"/>
          <w:bottom w:val="nil"/>
          <w:right w:val="nil"/>
          <w:between w:val="nil"/>
        </w:pBdr>
        <w:tabs>
          <w:tab w:val="left" w:pos="1701"/>
        </w:tabs>
        <w:spacing w:after="0" w:line="240" w:lineRule="auto"/>
        <w:jc w:val="center"/>
        <w:rPr>
          <w:smallCaps/>
        </w:rPr>
      </w:pPr>
      <w:r>
        <w:rPr>
          <w:smallCaps/>
          <w:color w:val="000000"/>
        </w:rPr>
        <w:t>Estado de San</w:t>
      </w:r>
      <w:r>
        <w:rPr>
          <w:smallCaps/>
          <w:color w:val="000000"/>
        </w:rPr>
        <w:t xml:space="preserve">ta Catarina, </w:t>
      </w:r>
      <w:r>
        <w:rPr>
          <w:smallCaps/>
        </w:rPr>
        <w:t>19 de agosto de 2024</w:t>
      </w:r>
    </w:p>
    <w:p w14:paraId="0000001B" w14:textId="77777777" w:rsidR="003E64B4" w:rsidRDefault="003E64B4">
      <w:pPr>
        <w:pBdr>
          <w:top w:val="nil"/>
          <w:left w:val="nil"/>
          <w:bottom w:val="nil"/>
          <w:right w:val="nil"/>
          <w:between w:val="nil"/>
        </w:pBdr>
        <w:tabs>
          <w:tab w:val="left" w:pos="1701"/>
        </w:tabs>
        <w:spacing w:after="0" w:line="240" w:lineRule="auto"/>
        <w:jc w:val="center"/>
        <w:rPr>
          <w:smallCaps/>
        </w:rPr>
      </w:pPr>
    </w:p>
    <w:p w14:paraId="0000001C" w14:textId="77777777" w:rsidR="003E64B4" w:rsidRDefault="003E64B4">
      <w:pPr>
        <w:pBdr>
          <w:top w:val="nil"/>
          <w:left w:val="nil"/>
          <w:bottom w:val="nil"/>
          <w:right w:val="nil"/>
          <w:between w:val="nil"/>
        </w:pBdr>
        <w:tabs>
          <w:tab w:val="left" w:pos="1701"/>
        </w:tabs>
        <w:spacing w:after="0" w:line="240" w:lineRule="auto"/>
        <w:jc w:val="center"/>
        <w:rPr>
          <w:smallCaps/>
        </w:rPr>
      </w:pPr>
    </w:p>
    <w:p w14:paraId="0000001D" w14:textId="77777777" w:rsidR="003E64B4" w:rsidRDefault="003E64B4">
      <w:pPr>
        <w:pBdr>
          <w:top w:val="nil"/>
          <w:left w:val="nil"/>
          <w:bottom w:val="nil"/>
          <w:right w:val="nil"/>
          <w:between w:val="nil"/>
        </w:pBdr>
        <w:tabs>
          <w:tab w:val="left" w:pos="1701"/>
        </w:tabs>
        <w:spacing w:after="0" w:line="240" w:lineRule="auto"/>
        <w:jc w:val="center"/>
        <w:rPr>
          <w:smallCaps/>
        </w:rPr>
      </w:pPr>
    </w:p>
    <w:p w14:paraId="0000001E" w14:textId="77777777" w:rsidR="003E64B4" w:rsidRDefault="004D72A4">
      <w:pPr>
        <w:tabs>
          <w:tab w:val="left" w:pos="1701"/>
        </w:tabs>
        <w:jc w:val="center"/>
        <w:rPr>
          <w:b/>
        </w:rPr>
      </w:pPr>
      <w:r>
        <w:rPr>
          <w:b/>
        </w:rPr>
        <w:t>_____________________________________</w:t>
      </w:r>
    </w:p>
    <w:p w14:paraId="0000001F" w14:textId="77777777" w:rsidR="003E64B4" w:rsidRDefault="004D72A4">
      <w:pPr>
        <w:tabs>
          <w:tab w:val="left" w:pos="1701"/>
        </w:tabs>
        <w:jc w:val="center"/>
        <w:rPr>
          <w:b/>
        </w:rPr>
      </w:pPr>
      <w:r>
        <w:rPr>
          <w:b/>
        </w:rPr>
        <w:t>EDILSON MIGUEL VOLKWEIS</w:t>
      </w:r>
    </w:p>
    <w:p w14:paraId="00000020" w14:textId="77777777" w:rsidR="003E64B4" w:rsidRDefault="004D72A4">
      <w:pPr>
        <w:tabs>
          <w:tab w:val="left" w:pos="1701"/>
        </w:tabs>
        <w:jc w:val="center"/>
        <w:rPr>
          <w:sz w:val="24"/>
          <w:szCs w:val="24"/>
        </w:rPr>
      </w:pPr>
      <w:r>
        <w:rPr>
          <w:smallCaps/>
        </w:rPr>
        <w:t>Prefeito Municipal</w:t>
      </w:r>
      <w:r>
        <w:br w:type="page"/>
      </w:r>
    </w:p>
    <w:p w14:paraId="00000021" w14:textId="0BBE68C8" w:rsidR="003E64B4" w:rsidRDefault="004D72A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Projeto de Lei </w:t>
      </w:r>
      <w:r w:rsidR="00B9542B">
        <w:rPr>
          <w:rFonts w:ascii="Times New Roman" w:eastAsia="Times New Roman" w:hAnsi="Times New Roman" w:cs="Times New Roman"/>
          <w:sz w:val="24"/>
          <w:szCs w:val="24"/>
        </w:rPr>
        <w:t>21</w:t>
      </w:r>
      <w:bookmarkStart w:id="0" w:name="_GoBack"/>
      <w:bookmarkEnd w:id="0"/>
      <w:r>
        <w:rPr>
          <w:rFonts w:ascii="Times New Roman" w:eastAsia="Times New Roman" w:hAnsi="Times New Roman" w:cs="Times New Roman"/>
          <w:sz w:val="24"/>
          <w:szCs w:val="24"/>
        </w:rPr>
        <w:t>/2024.</w:t>
      </w:r>
    </w:p>
    <w:p w14:paraId="00000022" w14:textId="77777777" w:rsidR="003E64B4" w:rsidRDefault="003E64B4">
      <w:pPr>
        <w:spacing w:line="360" w:lineRule="auto"/>
        <w:rPr>
          <w:rFonts w:ascii="Times New Roman" w:eastAsia="Times New Roman" w:hAnsi="Times New Roman" w:cs="Times New Roman"/>
          <w:sz w:val="24"/>
          <w:szCs w:val="24"/>
        </w:rPr>
      </w:pPr>
    </w:p>
    <w:p w14:paraId="00000023" w14:textId="77777777" w:rsidR="003E64B4" w:rsidRDefault="004D72A4">
      <w:pPr>
        <w:spacing w:line="360" w:lineRule="auto"/>
        <w:ind w:left="2268"/>
        <w:jc w:val="both"/>
        <w:rPr>
          <w:rFonts w:ascii="Times New Roman" w:eastAsia="Times New Roman" w:hAnsi="Times New Roman" w:cs="Times New Roman"/>
          <w:b/>
        </w:rPr>
      </w:pPr>
      <w:r>
        <w:rPr>
          <w:rFonts w:ascii="Times New Roman" w:eastAsia="Times New Roman" w:hAnsi="Times New Roman" w:cs="Times New Roman"/>
          <w:b/>
        </w:rPr>
        <w:t>“INSTITUI E AUTORIZA A COBRANÇA DE CONTRIBUIÇÃO DE MELHORIA DECORRENTES DE PAVIMENTAÇÃO ASFÁLTICA C.B.U.Q., EM RUAS DO PERÍMETRO URBANO E DÁ OUTRAS PROVIDÊNCIAS.”</w:t>
      </w:r>
    </w:p>
    <w:p w14:paraId="00000024" w14:textId="77777777" w:rsidR="003E64B4" w:rsidRDefault="004D72A4">
      <w:pPr>
        <w:spacing w:line="360" w:lineRule="auto"/>
        <w:ind w:left="2268"/>
        <w:jc w:val="both"/>
        <w:rPr>
          <w:rFonts w:ascii="Times New Roman" w:eastAsia="Times New Roman" w:hAnsi="Times New Roman" w:cs="Times New Roman"/>
        </w:rPr>
      </w:pPr>
      <w:r>
        <w:rPr>
          <w:rFonts w:ascii="Times New Roman" w:eastAsia="Times New Roman" w:hAnsi="Times New Roman" w:cs="Times New Roman"/>
          <w:b/>
        </w:rPr>
        <w:t xml:space="preserve">EDILSON MIGUEL VOLKWEIS, </w:t>
      </w:r>
      <w:r>
        <w:rPr>
          <w:rFonts w:ascii="Times New Roman" w:eastAsia="Times New Roman" w:hAnsi="Times New Roman" w:cs="Times New Roman"/>
        </w:rPr>
        <w:t xml:space="preserve">Prefeito Municipal de Princesa, Estado de Santa Catarina, no uso de </w:t>
      </w:r>
      <w:r>
        <w:rPr>
          <w:rFonts w:ascii="Times New Roman" w:eastAsia="Times New Roman" w:hAnsi="Times New Roman" w:cs="Times New Roman"/>
        </w:rPr>
        <w:t xml:space="preserve">suas atribuições legais conferidas pela Lei Orgânica do Município, encaminha a esta Câmara Municipal o presente projeto de lei para análise, discussão e votação: </w:t>
      </w:r>
    </w:p>
    <w:p w14:paraId="00000025"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 1º. Fica autorizado o Chefe do Poder Executivo Municipal a promover os atos necessários </w:t>
      </w:r>
      <w:r>
        <w:rPr>
          <w:rFonts w:ascii="Times New Roman" w:eastAsia="Times New Roman" w:hAnsi="Times New Roman" w:cs="Times New Roman"/>
          <w:sz w:val="24"/>
          <w:szCs w:val="24"/>
        </w:rPr>
        <w:t xml:space="preserve">à cobrança da Contribuição de Melhoria em decorrência da valorização imobiliária relativo às obras públicas de </w:t>
      </w:r>
      <w:r>
        <w:rPr>
          <w:rFonts w:ascii="Times New Roman" w:eastAsia="Times New Roman" w:hAnsi="Times New Roman" w:cs="Times New Roman"/>
          <w:b/>
        </w:rPr>
        <w:t>PAVIMENTAÇÃO ASFÁLTICA C.B.U.Q</w:t>
      </w:r>
      <w:r>
        <w:rPr>
          <w:rFonts w:ascii="Times New Roman" w:eastAsia="Times New Roman" w:hAnsi="Times New Roman" w:cs="Times New Roman"/>
          <w:sz w:val="24"/>
          <w:szCs w:val="24"/>
        </w:rPr>
        <w:t>, sinalização e obras complementares, tendo como limite global a despesa realizada da obra e, como limite individua</w:t>
      </w:r>
      <w:r>
        <w:rPr>
          <w:rFonts w:ascii="Times New Roman" w:eastAsia="Times New Roman" w:hAnsi="Times New Roman" w:cs="Times New Roman"/>
          <w:sz w:val="24"/>
          <w:szCs w:val="24"/>
        </w:rPr>
        <w:t>l, o acréscimo de valor que resultar para cada imóvel, compreendendo aqueles situados nas ruas abaixo relacionada:</w:t>
      </w:r>
    </w:p>
    <w:p w14:paraId="00000026" w14:textId="77777777" w:rsidR="003E64B4" w:rsidRDefault="004D72A4">
      <w:pPr>
        <w:widowControl w:val="0"/>
        <w:numPr>
          <w:ilvl w:val="0"/>
          <w:numId w:val="2"/>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 xml:space="preserve">RUA SETE DE SETEMBRO: A: 2.205,54 m² - (Trecho compreendido entre a Avenida Santa Rosa e a Rua Santa Catarina).  </w:t>
      </w:r>
    </w:p>
    <w:p w14:paraId="00000027" w14:textId="77777777" w:rsidR="003E64B4" w:rsidRDefault="003E64B4">
      <w:pPr>
        <w:jc w:val="both"/>
        <w:rPr>
          <w:rFonts w:ascii="Times New Roman" w:eastAsia="Times New Roman" w:hAnsi="Times New Roman" w:cs="Times New Roman"/>
          <w:sz w:val="24"/>
          <w:szCs w:val="24"/>
        </w:rPr>
      </w:pPr>
    </w:p>
    <w:p w14:paraId="00000028"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Parágrafo único. O custo t</w:t>
      </w:r>
      <w:r>
        <w:rPr>
          <w:rFonts w:ascii="Times New Roman" w:eastAsia="Times New Roman" w:hAnsi="Times New Roman" w:cs="Times New Roman"/>
          <w:sz w:val="24"/>
          <w:szCs w:val="24"/>
        </w:rPr>
        <w:t>otal/orçamento estimado considerando a extensão das vias, no que se refere à consecução das obras públicas definidas nesta Lei, possui como fonte orçamentária própria do Município de Princesa, da Secretaria Municipal de Infraestrutura, Obras, Urbanismo e T</w:t>
      </w:r>
      <w:r>
        <w:rPr>
          <w:rFonts w:ascii="Times New Roman" w:eastAsia="Times New Roman" w:hAnsi="Times New Roman" w:cs="Times New Roman"/>
          <w:sz w:val="24"/>
          <w:szCs w:val="24"/>
        </w:rPr>
        <w:t>ransportes, resultante do Programa Mais Asfalto do CONDER, em que o município é consorciado:</w:t>
      </w:r>
    </w:p>
    <w:p w14:paraId="00000029" w14:textId="77777777" w:rsidR="003E64B4" w:rsidRDefault="004D72A4">
      <w:pPr>
        <w:widowControl w:val="0"/>
        <w:numPr>
          <w:ilvl w:val="0"/>
          <w:numId w:val="2"/>
        </w:numPr>
        <w:shd w:val="clear" w:color="auto" w:fill="FFFFFF"/>
        <w:tabs>
          <w:tab w:val="left" w:pos="1134"/>
        </w:tabs>
        <w:spacing w:before="180" w:after="0" w:line="240" w:lineRule="auto"/>
        <w:jc w:val="both"/>
        <w:rPr>
          <w:rFonts w:ascii="Times New Roman" w:eastAsia="Times New Roman" w:hAnsi="Times New Roman" w:cs="Times New Roman"/>
          <w:b/>
          <w:smallCaps/>
          <w:sz w:val="24"/>
          <w:szCs w:val="24"/>
        </w:rPr>
      </w:pPr>
      <w:r>
        <w:rPr>
          <w:rFonts w:ascii="Times New Roman" w:eastAsia="Times New Roman" w:hAnsi="Times New Roman" w:cs="Times New Roman"/>
          <w:b/>
          <w:smallCaps/>
          <w:sz w:val="24"/>
          <w:szCs w:val="24"/>
        </w:rPr>
        <w:t>RUA SETE DE SETEMBRO (Trecho compreendido entre a Avenida Santa Rosa e a Rua Santa Catarina), valor: R$198.413,43 (cento e noventa e oito mil, quatrocentos treze r</w:t>
      </w:r>
      <w:r>
        <w:rPr>
          <w:rFonts w:ascii="Times New Roman" w:eastAsia="Times New Roman" w:hAnsi="Times New Roman" w:cs="Times New Roman"/>
          <w:b/>
          <w:smallCaps/>
          <w:sz w:val="24"/>
          <w:szCs w:val="24"/>
        </w:rPr>
        <w:t>eais e quarenta e três centavos).</w:t>
      </w:r>
    </w:p>
    <w:p w14:paraId="0000002A" w14:textId="77777777" w:rsidR="003E64B4" w:rsidRDefault="003E64B4">
      <w:pPr>
        <w:jc w:val="both"/>
        <w:rPr>
          <w:rFonts w:ascii="Times New Roman" w:eastAsia="Times New Roman" w:hAnsi="Times New Roman" w:cs="Times New Roman"/>
          <w:sz w:val="24"/>
          <w:szCs w:val="24"/>
        </w:rPr>
      </w:pPr>
    </w:p>
    <w:p w14:paraId="0000002B"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2º. A Contribuição de Melhoria cobrada pelo Município é instituída para fazer face ao custo de obras públicas de que decorra valorização imobiliária, tendo como limite total a despesa realizada e como limite individu</w:t>
      </w:r>
      <w:r>
        <w:rPr>
          <w:rFonts w:ascii="Times New Roman" w:eastAsia="Times New Roman" w:hAnsi="Times New Roman" w:cs="Times New Roman"/>
          <w:sz w:val="24"/>
          <w:szCs w:val="24"/>
        </w:rPr>
        <w:t>al o acréscimo de valor que da obra resultar para cada imóvel beneficiado.</w:t>
      </w:r>
    </w:p>
    <w:p w14:paraId="0000002C"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 3º. O Sujeito Passivo da Contribuição de Melhoria é a pessoa física ou jurídica titular da propriedade ou do domínio útil ou da posse do bem imóvel alcançado pelo acréscimo do </w:t>
      </w:r>
      <w:r>
        <w:rPr>
          <w:rFonts w:ascii="Times New Roman" w:eastAsia="Times New Roman" w:hAnsi="Times New Roman" w:cs="Times New Roman"/>
          <w:sz w:val="24"/>
          <w:szCs w:val="24"/>
        </w:rPr>
        <w:t>valor do imóvel localizado nas áreas beneficiadas direta ou indiretamente por obras públicas municipais.</w:t>
      </w:r>
    </w:p>
    <w:p w14:paraId="0000002D"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4º - A Contribuição de Melhoria tem como fato gerador o acréscimo do valor do imóvel localizado nas áreas beneficiadas direta ou indiretamente por</w:t>
      </w:r>
      <w:r>
        <w:rPr>
          <w:rFonts w:ascii="Times New Roman" w:eastAsia="Times New Roman" w:hAnsi="Times New Roman" w:cs="Times New Roman"/>
          <w:sz w:val="24"/>
          <w:szCs w:val="24"/>
        </w:rPr>
        <w:t xml:space="preserve"> obras públicas municipais.</w:t>
      </w:r>
    </w:p>
    <w:p w14:paraId="0000002E"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5º- A base de cálculo da Contribuição de Melhoria a ser exigida pelo Município, para fazer face ao custo das obras públicas, será cobrada adotando-se como critério o benefício resultante da obra, calculado através de índice</w:t>
      </w:r>
      <w:r>
        <w:rPr>
          <w:rFonts w:ascii="Times New Roman" w:eastAsia="Times New Roman" w:hAnsi="Times New Roman" w:cs="Times New Roman"/>
          <w:sz w:val="24"/>
          <w:szCs w:val="24"/>
        </w:rPr>
        <w:t>s cadastrais das respectivas Zonas de Influência.</w:t>
      </w:r>
    </w:p>
    <w:p w14:paraId="0000002F"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1º.  A apuração da base de cálculo, dependendo da natureza da obra, far-se-á levando em conta a situação do imóvel na Zona de Influência, sua testada, área, finalidade de exploração econômica e outros ele</w:t>
      </w:r>
      <w:r>
        <w:rPr>
          <w:rFonts w:ascii="Times New Roman" w:eastAsia="Times New Roman" w:hAnsi="Times New Roman" w:cs="Times New Roman"/>
          <w:sz w:val="24"/>
          <w:szCs w:val="24"/>
        </w:rPr>
        <w:t>mentos a serem considerados, isolada ou conjuntamente.</w:t>
      </w:r>
    </w:p>
    <w:p w14:paraId="00000030"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2º.  A determinação da base de cálculo da Contribuição de Melhoria far-se-á rateando, proporcionalmente, o custo parcial ou total das obras, entre todos os imóveis incluídos nas respectivas Zonas de </w:t>
      </w:r>
      <w:r>
        <w:rPr>
          <w:rFonts w:ascii="Times New Roman" w:eastAsia="Times New Roman" w:hAnsi="Times New Roman" w:cs="Times New Roman"/>
          <w:sz w:val="24"/>
          <w:szCs w:val="24"/>
        </w:rPr>
        <w:t>Influência.</w:t>
      </w:r>
    </w:p>
    <w:p w14:paraId="00000031"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3º.  A Contribuição de Melhoria será cobrada dos proprietários de imóveis do domínio privado, situados nas áreas diretas e indiretamente beneficiadas pela obra.</w:t>
      </w:r>
    </w:p>
    <w:p w14:paraId="00000032"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4º.  Para a apuração da base de cálculo da Contribuição de Melhoria, o órgão re</w:t>
      </w:r>
      <w:r>
        <w:rPr>
          <w:rFonts w:ascii="Times New Roman" w:eastAsia="Times New Roman" w:hAnsi="Times New Roman" w:cs="Times New Roman"/>
          <w:sz w:val="24"/>
          <w:szCs w:val="24"/>
        </w:rPr>
        <w:t>sponsável, com base no benefício resultante da obra – calculado através de índices cadastrais das respectivas Zonas de Influência no Custo Total ou Parcial da Obra, no Número Total de Imóveis Beneficiados, situados na  Zona de Influência da obra e em funçã</w:t>
      </w:r>
      <w:r>
        <w:rPr>
          <w:rFonts w:ascii="Times New Roman" w:eastAsia="Times New Roman" w:hAnsi="Times New Roman" w:cs="Times New Roman"/>
          <w:sz w:val="24"/>
          <w:szCs w:val="24"/>
        </w:rPr>
        <w:t>o dos respectivos  Fatores Relativos e Individuais de Valorização.</w:t>
      </w:r>
    </w:p>
    <w:p w14:paraId="00000033"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5º. Para a apuração do Número Total de Imóveis Beneficiados, situados na Zona de Influência da obra, e dos respectivos Fatores Relativos e Individuais de Valorização, a Administração Públ</w:t>
      </w:r>
      <w:r>
        <w:rPr>
          <w:rFonts w:ascii="Times New Roman" w:eastAsia="Times New Roman" w:hAnsi="Times New Roman" w:cs="Times New Roman"/>
          <w:sz w:val="24"/>
          <w:szCs w:val="24"/>
        </w:rPr>
        <w:t>ica Municipal adotará os seguintes procedimentos:</w:t>
      </w:r>
    </w:p>
    <w:p w14:paraId="00000034"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delimitará</w:t>
      </w:r>
      <w:proofErr w:type="gramEnd"/>
      <w:r>
        <w:rPr>
          <w:rFonts w:ascii="Times New Roman" w:eastAsia="Times New Roman" w:hAnsi="Times New Roman" w:cs="Times New Roman"/>
          <w:sz w:val="24"/>
          <w:szCs w:val="24"/>
        </w:rPr>
        <w:t>, em planta, a Zona de Influência da obra;</w:t>
      </w:r>
    </w:p>
    <w:p w14:paraId="00000035"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 </w:t>
      </w:r>
      <w:proofErr w:type="gramStart"/>
      <w:r>
        <w:rPr>
          <w:rFonts w:ascii="Times New Roman" w:eastAsia="Times New Roman" w:hAnsi="Times New Roman" w:cs="Times New Roman"/>
          <w:sz w:val="24"/>
          <w:szCs w:val="24"/>
        </w:rPr>
        <w:t>dividirá</w:t>
      </w:r>
      <w:proofErr w:type="gramEnd"/>
      <w:r>
        <w:rPr>
          <w:rFonts w:ascii="Times New Roman" w:eastAsia="Times New Roman" w:hAnsi="Times New Roman" w:cs="Times New Roman"/>
          <w:sz w:val="24"/>
          <w:szCs w:val="24"/>
        </w:rPr>
        <w:t xml:space="preserve"> a Zona de Influência em faixas correspondentes aos diversos Índices de Hierarquização de Benefícios de Imóveis, em ordem decrescente, se for o caso;</w:t>
      </w:r>
    </w:p>
    <w:p w14:paraId="00000036"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individualizará, com base na área territorial, os imóveis localizados em cada faixa;</w:t>
      </w:r>
    </w:p>
    <w:p w14:paraId="00000037"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w:t>
      </w:r>
      <w:r>
        <w:rPr>
          <w:rFonts w:ascii="Times New Roman" w:eastAsia="Times New Roman" w:hAnsi="Times New Roman" w:cs="Times New Roman"/>
          <w:sz w:val="24"/>
          <w:szCs w:val="24"/>
        </w:rPr>
        <w:t xml:space="preserve"> – </w:t>
      </w:r>
      <w:proofErr w:type="gramStart"/>
      <w:r>
        <w:rPr>
          <w:rFonts w:ascii="Times New Roman" w:eastAsia="Times New Roman" w:hAnsi="Times New Roman" w:cs="Times New Roman"/>
          <w:sz w:val="24"/>
          <w:szCs w:val="24"/>
        </w:rPr>
        <w:t>obterá</w:t>
      </w:r>
      <w:proofErr w:type="gramEnd"/>
      <w:r>
        <w:rPr>
          <w:rFonts w:ascii="Times New Roman" w:eastAsia="Times New Roman" w:hAnsi="Times New Roman" w:cs="Times New Roman"/>
          <w:sz w:val="24"/>
          <w:szCs w:val="24"/>
        </w:rPr>
        <w:t xml:space="preserve"> a área territorial de cada faixa, mediante a soma das áreas dos imóveis nela localizados.</w:t>
      </w:r>
    </w:p>
    <w:p w14:paraId="00000038"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 – Testada do imóvel.</w:t>
      </w:r>
    </w:p>
    <w:p w14:paraId="00000039"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6º - A base de cálculo da Contribuição de Melhoria terá como limite o custo das obras, computadas as despesas de estudo, projeto</w:t>
      </w:r>
      <w:r>
        <w:rPr>
          <w:rFonts w:ascii="Times New Roman" w:eastAsia="Times New Roman" w:hAnsi="Times New Roman" w:cs="Times New Roman"/>
          <w:sz w:val="24"/>
          <w:szCs w:val="24"/>
        </w:rPr>
        <w:t>s, fiscalização, desapropriações, administração, execução e financiamento, inclusive prêmios de reembolso e outras de praxe em financiamento ou empréstimos.</w:t>
      </w:r>
    </w:p>
    <w:p w14:paraId="0000003A"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 Estão incluídos nos orçamentos de custo das obras, todos os investimentos necessários para qu</w:t>
      </w:r>
      <w:r>
        <w:rPr>
          <w:rFonts w:ascii="Times New Roman" w:eastAsia="Times New Roman" w:hAnsi="Times New Roman" w:cs="Times New Roman"/>
          <w:sz w:val="24"/>
          <w:szCs w:val="24"/>
        </w:rPr>
        <w:t>e benefícios delas decorrentes sejam integralmente alcançados pelos imóveis situados nas respectivas zonas de influência da obra.</w:t>
      </w:r>
    </w:p>
    <w:p w14:paraId="0000003B"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2°. A percentagem do custo da obra a ser cobrado mediante Contribuição de Melhoria considerará a natureza da obra, os benefí</w:t>
      </w:r>
      <w:r>
        <w:rPr>
          <w:rFonts w:ascii="Times New Roman" w:eastAsia="Times New Roman" w:hAnsi="Times New Roman" w:cs="Times New Roman"/>
          <w:sz w:val="24"/>
          <w:szCs w:val="24"/>
        </w:rPr>
        <w:t>cios para os usuários, às atividades econômicas preponderantes e o nível de desenvolvimento da área beneficiada.</w:t>
      </w:r>
    </w:p>
    <w:p w14:paraId="0000003C"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§3º. A valorização imobiliária dar-se-á conforme Parecer da Comissão Especial a ser nomeada por Decreto.</w:t>
      </w:r>
    </w:p>
    <w:p w14:paraId="0000003D"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7º A base de cálculo da Contribui</w:t>
      </w:r>
      <w:r>
        <w:rPr>
          <w:rFonts w:ascii="Times New Roman" w:eastAsia="Times New Roman" w:hAnsi="Times New Roman" w:cs="Times New Roman"/>
          <w:sz w:val="24"/>
          <w:szCs w:val="24"/>
        </w:rPr>
        <w:t>ção de Melhoria, relativa a cada imóvel, será determinada pelo rateio do Custo Total ou Parcial da Obra, pelo Número Total de imóveis Beneficiados, situados na Zona de influência da Obra, em função dos respectivos Fatores Relativos e Individuais de Valoriz</w:t>
      </w:r>
      <w:r>
        <w:rPr>
          <w:rFonts w:ascii="Times New Roman" w:eastAsia="Times New Roman" w:hAnsi="Times New Roman" w:cs="Times New Roman"/>
          <w:sz w:val="24"/>
          <w:szCs w:val="24"/>
        </w:rPr>
        <w:t>ação.</w:t>
      </w:r>
    </w:p>
    <w:p w14:paraId="0000003E"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1°. Os Fatores Relativos e Individuais de Valorização é a determinação do fator de absorção de benefício da valorização para toda a zona e para cada uma das áreas diferenciadas, nela contidas.</w:t>
      </w:r>
    </w:p>
    <w:p w14:paraId="0000003F"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2°. O Custo Total ou Parcial da Obra, os respectivos Fatores Relativos e Individuais de Valorização e o número total de imóveis beneficiados deverão ser demonstrados em Edital específico próprio.</w:t>
      </w:r>
    </w:p>
    <w:p w14:paraId="00000040"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8º - Por terem interesse comum na situação que consti</w:t>
      </w:r>
      <w:r>
        <w:rPr>
          <w:rFonts w:ascii="Times New Roman" w:eastAsia="Times New Roman" w:hAnsi="Times New Roman" w:cs="Times New Roman"/>
          <w:sz w:val="24"/>
          <w:szCs w:val="24"/>
        </w:rPr>
        <w:t>tui o fato gerador da Contribuição de Melhoria ou por estarem expressamente designados, são pessoalmente solidários pelo pagamento da Contribuição de Melhoria:</w:t>
      </w:r>
    </w:p>
    <w:p w14:paraId="00000041"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o</w:t>
      </w:r>
      <w:proofErr w:type="gramEnd"/>
      <w:r>
        <w:rPr>
          <w:rFonts w:ascii="Times New Roman" w:eastAsia="Times New Roman" w:hAnsi="Times New Roman" w:cs="Times New Roman"/>
          <w:sz w:val="24"/>
          <w:szCs w:val="24"/>
        </w:rPr>
        <w:t xml:space="preserve"> adquirente do imóvel, pelos débitos do alienante, existentes à data do título de transferê</w:t>
      </w:r>
      <w:r>
        <w:rPr>
          <w:rFonts w:ascii="Times New Roman" w:eastAsia="Times New Roman" w:hAnsi="Times New Roman" w:cs="Times New Roman"/>
          <w:sz w:val="24"/>
          <w:szCs w:val="24"/>
        </w:rPr>
        <w:t>ncia, salvo quando conste deste a prova de sua quitação, limitada esta responsabilidade, nos casos de arrematação em hasta pública, ao montante do respectivo preço;</w:t>
      </w:r>
    </w:p>
    <w:p w14:paraId="00000042"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 </w:t>
      </w:r>
      <w:proofErr w:type="gramStart"/>
      <w:r>
        <w:rPr>
          <w:rFonts w:ascii="Times New Roman" w:eastAsia="Times New Roman" w:hAnsi="Times New Roman" w:cs="Times New Roman"/>
          <w:sz w:val="24"/>
          <w:szCs w:val="24"/>
        </w:rPr>
        <w:t>o</w:t>
      </w:r>
      <w:proofErr w:type="gramEnd"/>
      <w:r>
        <w:rPr>
          <w:rFonts w:ascii="Times New Roman" w:eastAsia="Times New Roman" w:hAnsi="Times New Roman" w:cs="Times New Roman"/>
          <w:sz w:val="24"/>
          <w:szCs w:val="24"/>
        </w:rPr>
        <w:t xml:space="preserve"> espólio, pelos débitos do “de cujus”, existentes à data da abertura da sucessão;</w:t>
      </w:r>
    </w:p>
    <w:p w14:paraId="00000043"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w:t>
      </w:r>
      <w:r>
        <w:rPr>
          <w:rFonts w:ascii="Times New Roman" w:eastAsia="Times New Roman" w:hAnsi="Times New Roman" w:cs="Times New Roman"/>
          <w:sz w:val="24"/>
          <w:szCs w:val="24"/>
        </w:rPr>
        <w:t xml:space="preserve"> – o sucessor, a qualquer título, e o cônjuge meeiro, pelos débitos do “de cujus” existentes à data da partilha ou da adjudicação, limitada esta responsabilidade ao montante do quinhão, do legado ou da meação;</w:t>
      </w:r>
    </w:p>
    <w:p w14:paraId="00000044"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IV –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pessoa jurídica que resultar da fusão, </w:t>
      </w:r>
      <w:r>
        <w:rPr>
          <w:rFonts w:ascii="Times New Roman" w:eastAsia="Times New Roman" w:hAnsi="Times New Roman" w:cs="Times New Roman"/>
          <w:sz w:val="24"/>
          <w:szCs w:val="24"/>
        </w:rPr>
        <w:t>transformação ou incorporação de outra, ou em outra, pelos débitos das sociedades fundidas, transformadas ou incorporadas existentes à data daqueles atos;</w:t>
      </w:r>
    </w:p>
    <w:p w14:paraId="00000045"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 – a pessoa natural ou jurídica que adquirir de outra, por qualquer título, fundo de comércio ou de </w:t>
      </w:r>
      <w:r>
        <w:rPr>
          <w:rFonts w:ascii="Times New Roman" w:eastAsia="Times New Roman" w:hAnsi="Times New Roman" w:cs="Times New Roman"/>
          <w:sz w:val="24"/>
          <w:szCs w:val="24"/>
        </w:rPr>
        <w:t>estabelecimento comercial, industrial ou de serviço, e continuar a exploração do negócio sob a mesma ou outra razão social ou sob firma ou nome individual, pelos débitos do fundo ou do estabelecimento adquirido, existentes à data da transação.</w:t>
      </w:r>
    </w:p>
    <w:p w14:paraId="00000046"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1º.  Quand</w:t>
      </w:r>
      <w:r>
        <w:rPr>
          <w:rFonts w:ascii="Times New Roman" w:eastAsia="Times New Roman" w:hAnsi="Times New Roman" w:cs="Times New Roman"/>
          <w:sz w:val="24"/>
          <w:szCs w:val="24"/>
        </w:rPr>
        <w:t>o a aquisição se fizer por arrematação em hasta pública ou na hipótese do inciso III deste artigo, a responsabilidade terá por limite máximo, respectivamente, o preço da arrematação ou o montante do quinhão, legado ou meação.</w:t>
      </w:r>
    </w:p>
    <w:p w14:paraId="00000047"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2º.  O disposto no inciso II</w:t>
      </w:r>
      <w:r>
        <w:rPr>
          <w:rFonts w:ascii="Times New Roman" w:eastAsia="Times New Roman" w:hAnsi="Times New Roman" w:cs="Times New Roman"/>
          <w:sz w:val="24"/>
          <w:szCs w:val="24"/>
        </w:rPr>
        <w:t>I deste artigo aplica-se nos casos de extinção de pessoas jurídicas, quando a exploração da respectiva atividade seja contínua por qualquer sócio remanescente ou se espólio, com a mesma ou outra razão social, ou sob firma individual.</w:t>
      </w:r>
    </w:p>
    <w:p w14:paraId="00000048"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9º Para a cobranç</w:t>
      </w:r>
      <w:r>
        <w:rPr>
          <w:rFonts w:ascii="Times New Roman" w:eastAsia="Times New Roman" w:hAnsi="Times New Roman" w:cs="Times New Roman"/>
          <w:sz w:val="24"/>
          <w:szCs w:val="24"/>
        </w:rPr>
        <w:t>a da Contribuição de Melhoria, o Poder Executivo Municipal publicará, previamente, no órgão de imprensa oficial do Município, Edital Demonstrativo do Custo da Obra de Melhoramento, que conterá os seguintes elementos:</w:t>
      </w:r>
    </w:p>
    <w:p w14:paraId="00000049"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memorial</w:t>
      </w:r>
      <w:proofErr w:type="gramEnd"/>
      <w:r>
        <w:rPr>
          <w:rFonts w:ascii="Times New Roman" w:eastAsia="Times New Roman" w:hAnsi="Times New Roman" w:cs="Times New Roman"/>
          <w:sz w:val="24"/>
          <w:szCs w:val="24"/>
        </w:rPr>
        <w:t xml:space="preserve"> descritivo do projeto;</w:t>
      </w:r>
    </w:p>
    <w:p w14:paraId="0000004A"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w:t>
      </w:r>
      <w:r>
        <w:rPr>
          <w:rFonts w:ascii="Times New Roman" w:eastAsia="Times New Roman" w:hAnsi="Times New Roman" w:cs="Times New Roman"/>
          <w:sz w:val="24"/>
          <w:szCs w:val="24"/>
        </w:rPr>
        <w:t>- Custo Total ou Parcial da Obra a ser ressarcida pela Contribuição de Melhoria;</w:t>
      </w:r>
    </w:p>
    <w:p w14:paraId="0000004B"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III - delimitação, em planta, da Zona de Influência da obra, demonstrando as áreas, direta e indiretamente, beneficiadas, e a relação dos imóveis que a integram e respectivas </w:t>
      </w:r>
      <w:r>
        <w:rPr>
          <w:rFonts w:ascii="Times New Roman" w:eastAsia="Times New Roman" w:hAnsi="Times New Roman" w:cs="Times New Roman"/>
          <w:sz w:val="24"/>
          <w:szCs w:val="24"/>
        </w:rPr>
        <w:t>medidas lineares das testadas, que serão utilizadas para o cálculo do tributo;</w:t>
      </w:r>
    </w:p>
    <w:p w14:paraId="0000004C"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A divisão da Zona de Influência em faixas correspondentes aos diversos Índices de hierarquização de Benefícios de Imóveis, em ordem decrescente, se for o caso;</w:t>
      </w:r>
    </w:p>
    <w:p w14:paraId="0000004D"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 - Número T</w:t>
      </w:r>
      <w:r>
        <w:rPr>
          <w:rFonts w:ascii="Times New Roman" w:eastAsia="Times New Roman" w:hAnsi="Times New Roman" w:cs="Times New Roman"/>
          <w:sz w:val="24"/>
          <w:szCs w:val="24"/>
        </w:rPr>
        <w:t>otal de Imóveis Beneficiados, situados na Zona de Influência da Obra;</w:t>
      </w:r>
    </w:p>
    <w:p w14:paraId="0000004E"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 – </w:t>
      </w:r>
      <w:proofErr w:type="gramStart"/>
      <w:r>
        <w:rPr>
          <w:rFonts w:ascii="Times New Roman" w:eastAsia="Times New Roman" w:hAnsi="Times New Roman" w:cs="Times New Roman"/>
          <w:sz w:val="24"/>
          <w:szCs w:val="24"/>
        </w:rPr>
        <w:t>determinação</w:t>
      </w:r>
      <w:proofErr w:type="gramEnd"/>
      <w:r>
        <w:rPr>
          <w:rFonts w:ascii="Times New Roman" w:eastAsia="Times New Roman" w:hAnsi="Times New Roman" w:cs="Times New Roman"/>
          <w:sz w:val="24"/>
          <w:szCs w:val="24"/>
        </w:rPr>
        <w:t xml:space="preserve"> da parcela do custo da obra a ser ressarcida pela Contribuição de Melhoria, com o correspondente plano de rateio entre os imóveis situados na área de sua influência.</w:t>
      </w:r>
    </w:p>
    <w:p w14:paraId="0000004F"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w:t>
      </w:r>
      <w:r>
        <w:rPr>
          <w:rFonts w:ascii="Times New Roman" w:eastAsia="Times New Roman" w:hAnsi="Times New Roman" w:cs="Times New Roman"/>
          <w:sz w:val="24"/>
          <w:szCs w:val="24"/>
        </w:rPr>
        <w:t>t. 10º O contribuinte definido no artigo 3º da presente Lei poderá, no prazo improrrogável de 30 (trinta) dias, a começar da data da publicação do edital, impugnar qualquer dos elementos deste, cabendo-lhe o ônus da prova.</w:t>
      </w:r>
    </w:p>
    <w:p w14:paraId="00000050"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Parágrafo Único. A impugnação ser</w:t>
      </w:r>
      <w:r>
        <w:rPr>
          <w:rFonts w:ascii="Times New Roman" w:eastAsia="Times New Roman" w:hAnsi="Times New Roman" w:cs="Times New Roman"/>
          <w:sz w:val="24"/>
          <w:szCs w:val="24"/>
        </w:rPr>
        <w:t>á feita mediante petição fundamentada apresentada à repartição fazendária municipal.</w:t>
      </w:r>
    </w:p>
    <w:p w14:paraId="00000051"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11. A autoridade competente para julgar a impugnação é aquela definida no Art. 62 parágrafo único da Lei Complementar Nº 018/2013, de 17 de dezembro de 2013, que dispõe sobre as normas gerais em administração tributária, que proferirá decisão no prazo</w:t>
      </w:r>
      <w:r>
        <w:rPr>
          <w:rFonts w:ascii="Times New Roman" w:eastAsia="Times New Roman" w:hAnsi="Times New Roman" w:cs="Times New Roman"/>
          <w:sz w:val="24"/>
          <w:szCs w:val="24"/>
        </w:rPr>
        <w:t xml:space="preserve"> de 7 (sete) dias, a contar do recebimento do pedido.</w:t>
      </w:r>
    </w:p>
    <w:p w14:paraId="00000052"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12. A decisão da autoridade julgadora poderá ser comunicada ao impugnante, através de ofício, ou ser publicada no órgão oficial do Município, considerando-se cientificado o impugnante no primeiro d</w:t>
      </w:r>
      <w:r>
        <w:rPr>
          <w:rFonts w:ascii="Times New Roman" w:eastAsia="Times New Roman" w:hAnsi="Times New Roman" w:cs="Times New Roman"/>
          <w:sz w:val="24"/>
          <w:szCs w:val="24"/>
        </w:rPr>
        <w:t>ia útil seguinte ao da publicação.</w:t>
      </w:r>
    </w:p>
    <w:p w14:paraId="00000053"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13. Da decisão proferida em primeira instância caberá recurso à Segunda instância, a ser interposto no prazo improrrogável de 5 (cinco) dias, a contar da data da ciência, sob pena de preclusão.</w:t>
      </w:r>
    </w:p>
    <w:p w14:paraId="00000054"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O julgamento em </w:t>
      </w:r>
      <w:r>
        <w:rPr>
          <w:rFonts w:ascii="Times New Roman" w:eastAsia="Times New Roman" w:hAnsi="Times New Roman" w:cs="Times New Roman"/>
          <w:sz w:val="24"/>
          <w:szCs w:val="24"/>
        </w:rPr>
        <w:t>segunda instância obedecerá ao prazo estabelecido no artigo 69 da Lei Complementar Nº 018/2013, de 17 de dezembro de 2013.</w:t>
      </w:r>
    </w:p>
    <w:p w14:paraId="00000055"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2º.  A forma de comunicação ao impugnante obedece ao estabelecido no artigo 298 da Lei Complementar Nº 018/2013, de 17 de dezembro </w:t>
      </w:r>
      <w:r>
        <w:rPr>
          <w:rFonts w:ascii="Times New Roman" w:eastAsia="Times New Roman" w:hAnsi="Times New Roman" w:cs="Times New Roman"/>
          <w:sz w:val="24"/>
          <w:szCs w:val="24"/>
        </w:rPr>
        <w:t>de 2013.</w:t>
      </w:r>
    </w:p>
    <w:p w14:paraId="00000056"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§3º. As impugnações/reclamações e recursos administrativos interpostos contra o lançamento da contribuição de melhoria não suspendem o prosseguimento da obra quando a cobrança se referir à melhoria decorrente de obra executada em parte na forma pr</w:t>
      </w:r>
      <w:r>
        <w:rPr>
          <w:rFonts w:ascii="Times New Roman" w:eastAsia="Times New Roman" w:hAnsi="Times New Roman" w:cs="Times New Roman"/>
          <w:sz w:val="24"/>
          <w:szCs w:val="24"/>
        </w:rPr>
        <w:t>evista no caput deste artigo nem impede a Administração de praticar os atos necessários ao lançamento e cobrança do tributo.</w:t>
      </w:r>
    </w:p>
    <w:p w14:paraId="00000057"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14. Executada a obra pública total ou parcialmente, de modo a justificar o início da cobrança da Contribuição de Melhoria, far</w:t>
      </w:r>
      <w:r>
        <w:rPr>
          <w:rFonts w:ascii="Times New Roman" w:eastAsia="Times New Roman" w:hAnsi="Times New Roman" w:cs="Times New Roman"/>
          <w:sz w:val="24"/>
          <w:szCs w:val="24"/>
        </w:rPr>
        <w:t>-se-á o lançamento referente a esses imóveis.</w:t>
      </w:r>
    </w:p>
    <w:p w14:paraId="00000058"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15 O Poder Executivo Municipal, considerando o custo das obras realizadas, a situação financeira do Município e as peculiaridades da área de influência das obras, poderá determinar que o lançamento da Cont</w:t>
      </w:r>
      <w:r>
        <w:rPr>
          <w:rFonts w:ascii="Times New Roman" w:eastAsia="Times New Roman" w:hAnsi="Times New Roman" w:cs="Times New Roman"/>
          <w:sz w:val="24"/>
          <w:szCs w:val="24"/>
        </w:rPr>
        <w:t xml:space="preserve">ribuição de Melhoria seja regulamentado </w:t>
      </w:r>
      <w:proofErr w:type="gramStart"/>
      <w:r>
        <w:rPr>
          <w:rFonts w:ascii="Times New Roman" w:eastAsia="Times New Roman" w:hAnsi="Times New Roman" w:cs="Times New Roman"/>
          <w:sz w:val="24"/>
          <w:szCs w:val="24"/>
        </w:rPr>
        <w:t>em  edital</w:t>
      </w:r>
      <w:proofErr w:type="gramEnd"/>
      <w:r>
        <w:rPr>
          <w:rFonts w:ascii="Times New Roman" w:eastAsia="Times New Roman" w:hAnsi="Times New Roman" w:cs="Times New Roman"/>
          <w:sz w:val="24"/>
          <w:szCs w:val="24"/>
        </w:rPr>
        <w:t xml:space="preserve"> e/ou Decreto.</w:t>
      </w:r>
    </w:p>
    <w:p w14:paraId="00000059"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16 A repartição fazendária competente notificará pessoalmente, via postal ou por edital o sujeito passivo, devendo a notificação conter os seguintes requisitos:</w:t>
      </w:r>
    </w:p>
    <w:p w14:paraId="0000005A"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do</w:t>
      </w:r>
      <w:proofErr w:type="gramEnd"/>
      <w:r>
        <w:rPr>
          <w:rFonts w:ascii="Times New Roman" w:eastAsia="Times New Roman" w:hAnsi="Times New Roman" w:cs="Times New Roman"/>
          <w:sz w:val="24"/>
          <w:szCs w:val="24"/>
        </w:rPr>
        <w:t xml:space="preserve"> valor da Contribui</w:t>
      </w:r>
      <w:r>
        <w:rPr>
          <w:rFonts w:ascii="Times New Roman" w:eastAsia="Times New Roman" w:hAnsi="Times New Roman" w:cs="Times New Roman"/>
          <w:sz w:val="24"/>
          <w:szCs w:val="24"/>
        </w:rPr>
        <w:t>ção de Melhoria lançada;</w:t>
      </w:r>
    </w:p>
    <w:p w14:paraId="0000005B"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 </w:t>
      </w:r>
      <w:proofErr w:type="gramStart"/>
      <w:r>
        <w:rPr>
          <w:rFonts w:ascii="Times New Roman" w:eastAsia="Times New Roman" w:hAnsi="Times New Roman" w:cs="Times New Roman"/>
          <w:sz w:val="24"/>
          <w:szCs w:val="24"/>
        </w:rPr>
        <w:t>do</w:t>
      </w:r>
      <w:proofErr w:type="gramEnd"/>
      <w:r>
        <w:rPr>
          <w:rFonts w:ascii="Times New Roman" w:eastAsia="Times New Roman" w:hAnsi="Times New Roman" w:cs="Times New Roman"/>
          <w:sz w:val="24"/>
          <w:szCs w:val="24"/>
        </w:rPr>
        <w:t xml:space="preserve"> prazo para o seu pagamento e, se for o caso, do número de parcelas mensais e respectivos vencimentos;</w:t>
      </w:r>
    </w:p>
    <w:p w14:paraId="0000005C"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valor da Contribuição de Melhoria lançada individualmente por imóvel situado na área beneficiada pela obra pública</w:t>
      </w:r>
    </w:p>
    <w:p w14:paraId="0000005D"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IV - </w:t>
      </w:r>
      <w:proofErr w:type="gramStart"/>
      <w:r>
        <w:rPr>
          <w:rFonts w:ascii="Times New Roman" w:eastAsia="Times New Roman" w:hAnsi="Times New Roman" w:cs="Times New Roman"/>
          <w:sz w:val="24"/>
          <w:szCs w:val="24"/>
        </w:rPr>
        <w:t>do</w:t>
      </w:r>
      <w:proofErr w:type="gramEnd"/>
      <w:r>
        <w:rPr>
          <w:rFonts w:ascii="Times New Roman" w:eastAsia="Times New Roman" w:hAnsi="Times New Roman" w:cs="Times New Roman"/>
          <w:sz w:val="24"/>
          <w:szCs w:val="24"/>
        </w:rPr>
        <w:t xml:space="preserve"> prazo para a impugnação do lançamento;</w:t>
      </w:r>
    </w:p>
    <w:p w14:paraId="0000005E"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 - </w:t>
      </w:r>
      <w:proofErr w:type="gramStart"/>
      <w:r>
        <w:rPr>
          <w:rFonts w:ascii="Times New Roman" w:eastAsia="Times New Roman" w:hAnsi="Times New Roman" w:cs="Times New Roman"/>
          <w:sz w:val="24"/>
          <w:szCs w:val="24"/>
        </w:rPr>
        <w:t>o</w:t>
      </w:r>
      <w:proofErr w:type="gramEnd"/>
      <w:r>
        <w:rPr>
          <w:rFonts w:ascii="Times New Roman" w:eastAsia="Times New Roman" w:hAnsi="Times New Roman" w:cs="Times New Roman"/>
          <w:sz w:val="24"/>
          <w:szCs w:val="24"/>
        </w:rPr>
        <w:t xml:space="preserve"> local do pagamento da contribuição de melhoria.</w:t>
      </w:r>
    </w:p>
    <w:p w14:paraId="0000005F"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Parágrafo Único. Considerar-se-á regularmente notificado o sujeito passivo na data em que, através de publicação no órgão oficial de publicação do Municípi</w:t>
      </w:r>
      <w:r>
        <w:rPr>
          <w:rFonts w:ascii="Times New Roman" w:eastAsia="Times New Roman" w:hAnsi="Times New Roman" w:cs="Times New Roman"/>
          <w:sz w:val="24"/>
          <w:szCs w:val="24"/>
        </w:rPr>
        <w:t>o ou jornal de circulação local, se dê ciência ao público do lançamento da Contribuição de Melhoria.</w:t>
      </w:r>
    </w:p>
    <w:p w14:paraId="00000060"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17 Caso o contribuinte opte pelo pagamento parcelado, deverá manifestar a opção através de requerimento dirigido à autoridade fazendária, pelo menos 3</w:t>
      </w:r>
      <w:r>
        <w:rPr>
          <w:rFonts w:ascii="Times New Roman" w:eastAsia="Times New Roman" w:hAnsi="Times New Roman" w:cs="Times New Roman"/>
          <w:sz w:val="24"/>
          <w:szCs w:val="24"/>
        </w:rPr>
        <w:t>0 (trinta) dias antes do vencimento da parcela.</w:t>
      </w:r>
    </w:p>
    <w:p w14:paraId="00000061"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1º. No requerimento deverá constar o número de parcelas desejadas;</w:t>
      </w:r>
    </w:p>
    <w:p w14:paraId="00000062"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2º. Deferido o parcelamento, a autoridade fazendária procederá à emissão do carnê de pagamento, expresso em UFRM - Unidade Fiscal de Refe</w:t>
      </w:r>
      <w:r>
        <w:rPr>
          <w:rFonts w:ascii="Times New Roman" w:eastAsia="Times New Roman" w:hAnsi="Times New Roman" w:cs="Times New Roman"/>
          <w:sz w:val="24"/>
          <w:szCs w:val="24"/>
        </w:rPr>
        <w:t>rência Municipal, cuja transformação em moeda se dará no dia do efetivo pagamento da parcela.</w:t>
      </w:r>
    </w:p>
    <w:p w14:paraId="00000063"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Art.18 Os bens indivisos serão considerados como pertencentes a um só proprietário e aquele que for lançado terá direito de exigir dos condôminos as parcelas que </w:t>
      </w:r>
      <w:r>
        <w:rPr>
          <w:rFonts w:ascii="Times New Roman" w:eastAsia="Times New Roman" w:hAnsi="Times New Roman" w:cs="Times New Roman"/>
          <w:sz w:val="24"/>
          <w:szCs w:val="24"/>
        </w:rPr>
        <w:t>lhe couberem.</w:t>
      </w:r>
    </w:p>
    <w:p w14:paraId="00000064"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Art.19. Na determinação do valor individual da contribuição será observado o limite estabelecido pelo acréscimo de valor que da obra resultar para cada imóvel beneficiado, em estrita observância ao disposto nesta Lei, no artigo 145, inciso II</w:t>
      </w:r>
      <w:r>
        <w:rPr>
          <w:rFonts w:ascii="Times New Roman" w:eastAsia="Times New Roman" w:hAnsi="Times New Roman" w:cs="Times New Roman"/>
          <w:sz w:val="24"/>
          <w:szCs w:val="24"/>
        </w:rPr>
        <w:t>I, da Constituição Federal de 1988 c/c artigos 81 e 82, ambos da Lei nº. 5.172/1966 (Código Tributário Nacional), Decreto-lei nº. 195/1967, Lei Complementar nº. 101/2000 (Lei de Responsabilidade Fiscal), Lei nº. 10.257/2001 (Estatuto da Cidade) e Lei Compl</w:t>
      </w:r>
      <w:r>
        <w:rPr>
          <w:rFonts w:ascii="Times New Roman" w:eastAsia="Times New Roman" w:hAnsi="Times New Roman" w:cs="Times New Roman"/>
          <w:sz w:val="24"/>
          <w:szCs w:val="24"/>
        </w:rPr>
        <w:t>ementar Nº 018/2013, de 17 de dezembro de 2013 (Código Tributário Municipal).</w:t>
      </w:r>
    </w:p>
    <w:p w14:paraId="00000065"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20. A apuração far-se-á levando em conta:</w:t>
      </w:r>
    </w:p>
    <w:p w14:paraId="00000066"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situação do terreno na zona de influência;</w:t>
      </w:r>
    </w:p>
    <w:p w14:paraId="00000067"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 </w:t>
      </w:r>
      <w:proofErr w:type="gramStart"/>
      <w:r>
        <w:rPr>
          <w:rFonts w:ascii="Times New Roman" w:eastAsia="Times New Roman" w:hAnsi="Times New Roman" w:cs="Times New Roman"/>
          <w:sz w:val="24"/>
          <w:szCs w:val="24"/>
        </w:rPr>
        <w:t>sua</w:t>
      </w:r>
      <w:proofErr w:type="gramEnd"/>
      <w:r>
        <w:rPr>
          <w:rFonts w:ascii="Times New Roman" w:eastAsia="Times New Roman" w:hAnsi="Times New Roman" w:cs="Times New Roman"/>
          <w:sz w:val="24"/>
          <w:szCs w:val="24"/>
        </w:rPr>
        <w:t xml:space="preserve"> testada e área;</w:t>
      </w:r>
    </w:p>
    <w:p w14:paraId="00000068"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III – finalidade de exploração econômica, além de outros </w:t>
      </w:r>
      <w:r>
        <w:rPr>
          <w:rFonts w:ascii="Times New Roman" w:eastAsia="Times New Roman" w:hAnsi="Times New Roman" w:cs="Times New Roman"/>
          <w:sz w:val="24"/>
          <w:szCs w:val="24"/>
        </w:rPr>
        <w:t>elementos a serem considerados, isolados ou conjuntamente.</w:t>
      </w:r>
    </w:p>
    <w:p w14:paraId="00000069"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21. Os lançamentos da contribuição de melhoria e suas alterações serão disponibilizados aos sujeitos passivos mediante notificação pessoal ou via postal com Aviso de Recebimento Mão Própria (A</w:t>
      </w:r>
      <w:r>
        <w:rPr>
          <w:rFonts w:ascii="Times New Roman" w:eastAsia="Times New Roman" w:hAnsi="Times New Roman" w:cs="Times New Roman"/>
          <w:sz w:val="24"/>
          <w:szCs w:val="24"/>
        </w:rPr>
        <w:t>R-MP), em caso de Contribuinte Pessoa Física, e Simples Aviso de Recebimento (AR) em caso de Contribuinte Pessoa Jurídica, indicando o prazo de 30 (trinta) dias para efeitos de recolhimento do valor devido ou, para os fins de reclamação na forma desta Lei.</w:t>
      </w:r>
    </w:p>
    <w:p w14:paraId="0000006A"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22. Na impossibilidade da prática dos atos para a notificação do sujeito passivo na forma prevista no artigo anterior, a notificação será feita por Edital publicado em um dos jornais locais de grande circulação.</w:t>
      </w:r>
    </w:p>
    <w:p w14:paraId="0000006B"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23. Vencido o prazo fixado na notificação, sem que o sujeito passivo tenha cumprido a exigência fiscal ou contra ele tenha interposto impugnação/reclamação, ou, ainda, sem que tenha recorrido da decisão de primeira instância, será o valor do crédito t</w:t>
      </w:r>
      <w:r>
        <w:rPr>
          <w:rFonts w:ascii="Times New Roman" w:eastAsia="Times New Roman" w:hAnsi="Times New Roman" w:cs="Times New Roman"/>
          <w:sz w:val="24"/>
          <w:szCs w:val="24"/>
        </w:rPr>
        <w:t>ributário inscrito em dívida ativa, para os devidos fins.</w:t>
      </w:r>
    </w:p>
    <w:p w14:paraId="0000006C"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Art. 24. A notificação, de modelo a ser fixado pelo órgão fazendário, será emitida em duas vias, e conterá, além de outros, os seguintes elementos:</w:t>
      </w:r>
    </w:p>
    <w:p w14:paraId="0000006D"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nome</w:t>
      </w:r>
      <w:proofErr w:type="gramEnd"/>
      <w:r>
        <w:rPr>
          <w:rFonts w:ascii="Times New Roman" w:eastAsia="Times New Roman" w:hAnsi="Times New Roman" w:cs="Times New Roman"/>
          <w:sz w:val="24"/>
          <w:szCs w:val="24"/>
        </w:rPr>
        <w:t xml:space="preserve"> do notificado e seu número de inscrição n</w:t>
      </w:r>
      <w:r>
        <w:rPr>
          <w:rFonts w:ascii="Times New Roman" w:eastAsia="Times New Roman" w:hAnsi="Times New Roman" w:cs="Times New Roman"/>
          <w:sz w:val="24"/>
          <w:szCs w:val="24"/>
        </w:rPr>
        <w:t>o cadastro fiscal do Município;</w:t>
      </w:r>
    </w:p>
    <w:p w14:paraId="0000006E"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local e data da expedição;</w:t>
      </w:r>
    </w:p>
    <w:p w14:paraId="0000006F"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identificação da contribuição de melhoria, do seu montante, prazo para pagamento, suas prestações e vencimentos, local para pagamento e demais elementos considerados na sua apuração e indicação do dispositivo legal e que se funda o lançamento;</w:t>
      </w:r>
    </w:p>
    <w:p w14:paraId="00000070"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IV – i</w:t>
      </w:r>
      <w:r>
        <w:rPr>
          <w:rFonts w:ascii="Times New Roman" w:eastAsia="Times New Roman" w:hAnsi="Times New Roman" w:cs="Times New Roman"/>
          <w:sz w:val="24"/>
          <w:szCs w:val="24"/>
        </w:rPr>
        <w:t>ncidência e montante da multa, juros e correção monetária aplicáveis e indicação do embasamento legal neste sentido;</w:t>
      </w:r>
    </w:p>
    <w:p w14:paraId="00000071"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 – </w:t>
      </w:r>
      <w:proofErr w:type="gramStart"/>
      <w:r>
        <w:rPr>
          <w:rFonts w:ascii="Times New Roman" w:eastAsia="Times New Roman" w:hAnsi="Times New Roman" w:cs="Times New Roman"/>
          <w:sz w:val="24"/>
          <w:szCs w:val="24"/>
        </w:rPr>
        <w:t>prazo</w:t>
      </w:r>
      <w:proofErr w:type="gramEnd"/>
      <w:r>
        <w:rPr>
          <w:rFonts w:ascii="Times New Roman" w:eastAsia="Times New Roman" w:hAnsi="Times New Roman" w:cs="Times New Roman"/>
          <w:sz w:val="24"/>
          <w:szCs w:val="24"/>
        </w:rPr>
        <w:t xml:space="preserve"> para impugnação/reclamação ou cumprimento da exigência fiscal e local em que deve ser procedido o recolhimento;</w:t>
      </w:r>
    </w:p>
    <w:p w14:paraId="00000072"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 – </w:t>
      </w:r>
      <w:proofErr w:type="gramStart"/>
      <w:r>
        <w:rPr>
          <w:rFonts w:ascii="Times New Roman" w:eastAsia="Times New Roman" w:hAnsi="Times New Roman" w:cs="Times New Roman"/>
          <w:sz w:val="24"/>
          <w:szCs w:val="24"/>
        </w:rPr>
        <w:t>assinatura</w:t>
      </w:r>
      <w:proofErr w:type="gramEnd"/>
      <w:r>
        <w:rPr>
          <w:rFonts w:ascii="Times New Roman" w:eastAsia="Times New Roman" w:hAnsi="Times New Roman" w:cs="Times New Roman"/>
          <w:sz w:val="24"/>
          <w:szCs w:val="24"/>
        </w:rPr>
        <w:t xml:space="preserve"> d</w:t>
      </w:r>
      <w:r>
        <w:rPr>
          <w:rFonts w:ascii="Times New Roman" w:eastAsia="Times New Roman" w:hAnsi="Times New Roman" w:cs="Times New Roman"/>
          <w:sz w:val="24"/>
          <w:szCs w:val="24"/>
        </w:rPr>
        <w:t>o notificado e do notificante.</w:t>
      </w:r>
    </w:p>
    <w:p w14:paraId="00000073"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Parágrafo único. A recusa da assinatura da notificação pelo notificado a ele não aproveita nem prejudica.</w:t>
      </w:r>
    </w:p>
    <w:p w14:paraId="00000074"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 25. Sempre que, por qualquer motivo, não for assinada a notificação pelo notificado, a ele se dará ciência do ato </w:t>
      </w:r>
      <w:r>
        <w:rPr>
          <w:rFonts w:ascii="Times New Roman" w:eastAsia="Times New Roman" w:hAnsi="Times New Roman" w:cs="Times New Roman"/>
          <w:sz w:val="24"/>
          <w:szCs w:val="24"/>
        </w:rPr>
        <w:t>fiscal via postal (Correio) com Aviso de Recebimento Mão Própria (AR-MP) em caso de Contribuinte Pessoa Física ou simples Aviso de Recebimento (AR), no caso de Contribuinte Pessoa Jurídica.</w:t>
      </w:r>
    </w:p>
    <w:p w14:paraId="00000075"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26. São competentes para notificar o lançamento e suas altera</w:t>
      </w:r>
      <w:r>
        <w:rPr>
          <w:rFonts w:ascii="Times New Roman" w:eastAsia="Times New Roman" w:hAnsi="Times New Roman" w:cs="Times New Roman"/>
          <w:sz w:val="24"/>
          <w:szCs w:val="24"/>
        </w:rPr>
        <w:t>ções por ato próprio do Chefe do Poder Executivo:</w:t>
      </w:r>
    </w:p>
    <w:p w14:paraId="00000076"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os</w:t>
      </w:r>
      <w:proofErr w:type="gramEnd"/>
      <w:r>
        <w:rPr>
          <w:rFonts w:ascii="Times New Roman" w:eastAsia="Times New Roman" w:hAnsi="Times New Roman" w:cs="Times New Roman"/>
          <w:sz w:val="24"/>
          <w:szCs w:val="24"/>
        </w:rPr>
        <w:t xml:space="preserve"> Agentes Fiscais;</w:t>
      </w:r>
    </w:p>
    <w:p w14:paraId="00000077"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Autoridade Administrativa legalmente responsável pelo lançamento de tributos.</w:t>
      </w:r>
    </w:p>
    <w:p w14:paraId="00000078"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27. A Contribuição de Melhoria a que se refere esta Lei poderá ser paga de uma só vez ou par</w:t>
      </w:r>
      <w:r>
        <w:rPr>
          <w:rFonts w:ascii="Times New Roman" w:eastAsia="Times New Roman" w:hAnsi="Times New Roman" w:cs="Times New Roman"/>
          <w:sz w:val="24"/>
          <w:szCs w:val="24"/>
        </w:rPr>
        <w:t>celadamente, de acordo com os seguintes critérios:</w:t>
      </w:r>
    </w:p>
    <w:p w14:paraId="00000079"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 Por opção do contribuinte, o pagamento da Contribuição de Melhoria, poderá ser a vista em parcela única, ou parcelado Lei Complementar Nº 018/2013, de 17 de dezembro de 2013, não havendo a incidência d</w:t>
      </w:r>
      <w:r>
        <w:rPr>
          <w:rFonts w:ascii="Times New Roman" w:eastAsia="Times New Roman" w:hAnsi="Times New Roman" w:cs="Times New Roman"/>
          <w:sz w:val="24"/>
          <w:szCs w:val="24"/>
        </w:rPr>
        <w:t>e qualquer espécie de redução do montante lançado, aí incluídos os índices oficiais de correção monetária e aplicação de juros legais, sendo o caso;</w:t>
      </w:r>
    </w:p>
    <w:p w14:paraId="0000007A"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 - Independentemente do número de prestações, no parcelamento será observado que o valor mínimo de cada p</w:t>
      </w:r>
      <w:r>
        <w:rPr>
          <w:rFonts w:ascii="Times New Roman" w:eastAsia="Times New Roman" w:hAnsi="Times New Roman" w:cs="Times New Roman"/>
          <w:sz w:val="24"/>
          <w:szCs w:val="24"/>
        </w:rPr>
        <w:t>arcela não será inferior a 2,5% da Unidade Fiscal de Referência Municipal - UFRM.</w:t>
      </w:r>
    </w:p>
    <w:p w14:paraId="0000007B"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O pagamento da primeira parcela deverá ser efetuado até o último dia útil do mês do deferimento do pedido de parcelamento, sob pena de cancelamento do mesmo.</w:t>
      </w:r>
    </w:p>
    <w:p w14:paraId="0000007C"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28. A</w:t>
      </w:r>
      <w:r>
        <w:rPr>
          <w:rFonts w:ascii="Times New Roman" w:eastAsia="Times New Roman" w:hAnsi="Times New Roman" w:cs="Times New Roman"/>
          <w:sz w:val="24"/>
          <w:szCs w:val="24"/>
        </w:rPr>
        <w:t>s parcelas não pagas até a data de vencimento serão atualizadas na data do pagamento, incidindo sobre elas juros e multa na forma desta Lei, observadas as disposições do Lei Complementar Nº 018/2013, de 17 de dezembro de 2013 (Código Tributário Municipal).</w:t>
      </w:r>
    </w:p>
    <w:p w14:paraId="0000007D"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1º. Quando for efetuado o parcelamento e ocorrer o não pagamento de 02 (duas) parcelas até o vencimento da terceira parcela subsequente implica no seu cancelamento e na exigibilidade da totalidade do crédito não pago.</w:t>
      </w:r>
    </w:p>
    <w:p w14:paraId="0000007E"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2º. Na hipótese de parcelamento a</w:t>
      </w:r>
      <w:r>
        <w:rPr>
          <w:rFonts w:ascii="Times New Roman" w:eastAsia="Times New Roman" w:hAnsi="Times New Roman" w:cs="Times New Roman"/>
          <w:sz w:val="24"/>
          <w:szCs w:val="24"/>
        </w:rPr>
        <w:t>utorizado em lei, o crédito tributário correspondente à contribuição de melhoria parcelada e não paga, poderá, mediante requerimento do contribuinte e de acordo com as regras legais, ser adicionado ao novo crédito.</w:t>
      </w:r>
    </w:p>
    <w:p w14:paraId="0000007F"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29. Ficam imunes da incidência da co</w:t>
      </w:r>
      <w:r>
        <w:rPr>
          <w:rFonts w:ascii="Times New Roman" w:eastAsia="Times New Roman" w:hAnsi="Times New Roman" w:cs="Times New Roman"/>
          <w:sz w:val="24"/>
          <w:szCs w:val="24"/>
        </w:rPr>
        <w:t xml:space="preserve">ntribuição de melhoria prevista nesta Lei, os imóveis de propriedade do Poder Público Federal, </w:t>
      </w:r>
      <w:proofErr w:type="gramStart"/>
      <w:r>
        <w:rPr>
          <w:rFonts w:ascii="Times New Roman" w:eastAsia="Times New Roman" w:hAnsi="Times New Roman" w:cs="Times New Roman"/>
          <w:sz w:val="24"/>
          <w:szCs w:val="24"/>
        </w:rPr>
        <w:t>Estadual</w:t>
      </w:r>
      <w:proofErr w:type="gramEnd"/>
      <w:r>
        <w:rPr>
          <w:rFonts w:ascii="Times New Roman" w:eastAsia="Times New Roman" w:hAnsi="Times New Roman" w:cs="Times New Roman"/>
          <w:sz w:val="24"/>
          <w:szCs w:val="24"/>
        </w:rPr>
        <w:t xml:space="preserve"> ou Municipal.</w:t>
      </w:r>
    </w:p>
    <w:p w14:paraId="00000080"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1º. Ficam isentas do pagamento de contribuição de melhoria as entidades de saúde beneficentes e de assistência social, assim declaradas </w:t>
      </w:r>
      <w:r>
        <w:rPr>
          <w:rFonts w:ascii="Times New Roman" w:eastAsia="Times New Roman" w:hAnsi="Times New Roman" w:cs="Times New Roman"/>
          <w:sz w:val="24"/>
          <w:szCs w:val="24"/>
        </w:rPr>
        <w:t>pelo Conselho nacional de Assistência Social – CNAS, proprietárias de imóvel beneficiadas com obra pública. A isenção será solicitada por parte das interessadas, mediante requerimento ao Chefe do Poder Executivo acompanhado de Certidão ou Certificado exped</w:t>
      </w:r>
      <w:r>
        <w:rPr>
          <w:rFonts w:ascii="Times New Roman" w:eastAsia="Times New Roman" w:hAnsi="Times New Roman" w:cs="Times New Roman"/>
          <w:sz w:val="24"/>
          <w:szCs w:val="24"/>
        </w:rPr>
        <w:t>ido pelo CNAS, vigente à época do respectivo edital.</w:t>
      </w:r>
    </w:p>
    <w:p w14:paraId="00000081"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§2º. Serão transferidas à responsabilidade do Município, as parcelas devidas por contribuintes isentos de pagamento da Contribuição de Melhoria, após o rateio, desde que atendam </w:t>
      </w:r>
      <w:proofErr w:type="spellStart"/>
      <w:r>
        <w:rPr>
          <w:rFonts w:ascii="Times New Roman" w:eastAsia="Times New Roman" w:hAnsi="Times New Roman" w:cs="Times New Roman"/>
          <w:sz w:val="24"/>
          <w:szCs w:val="24"/>
        </w:rPr>
        <w:t>os</w:t>
      </w:r>
      <w:proofErr w:type="spellEnd"/>
      <w:r>
        <w:rPr>
          <w:rFonts w:ascii="Times New Roman" w:eastAsia="Times New Roman" w:hAnsi="Times New Roman" w:cs="Times New Roman"/>
          <w:sz w:val="24"/>
          <w:szCs w:val="24"/>
        </w:rPr>
        <w:t xml:space="preserve"> requisitos previstos n</w:t>
      </w:r>
      <w:r>
        <w:rPr>
          <w:rFonts w:ascii="Times New Roman" w:eastAsia="Times New Roman" w:hAnsi="Times New Roman" w:cs="Times New Roman"/>
          <w:sz w:val="24"/>
          <w:szCs w:val="24"/>
        </w:rPr>
        <w:t>o Código Tributário Municipal (Lei Complementar Nº 018/2013, de 17 de dezembro de 2013), o que será analisado pela Autoridade Administrativa de ofício quando se tratar de imóveis pertencentes ao Poder Público conforme definido no caput deste artigo e, medi</w:t>
      </w:r>
      <w:r>
        <w:rPr>
          <w:rFonts w:ascii="Times New Roman" w:eastAsia="Times New Roman" w:hAnsi="Times New Roman" w:cs="Times New Roman"/>
          <w:sz w:val="24"/>
          <w:szCs w:val="24"/>
        </w:rPr>
        <w:t>ante requerimento administrativo, para os demais casos.</w:t>
      </w:r>
    </w:p>
    <w:p w14:paraId="00000082"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30. Nos recolhimentos extemporâneos decorrentes de requerimentos relativos a isenções, reclamações ou recursos interpostos contra o lançamento de tributos, havendo comprovada e injustificada má-f</w:t>
      </w:r>
      <w:r>
        <w:rPr>
          <w:rFonts w:ascii="Times New Roman" w:eastAsia="Times New Roman" w:hAnsi="Times New Roman" w:cs="Times New Roman"/>
          <w:sz w:val="24"/>
          <w:szCs w:val="24"/>
        </w:rPr>
        <w:t>é do contribuinte em relação aos atos praticados, será exigido o valor atualizado do tributo, com o correspondente acréscimo de multa e juros de mora.</w:t>
      </w:r>
    </w:p>
    <w:p w14:paraId="00000083"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31. Os débitos fiscais de que trata esta lei, não liquidados no seu vencimento, serão atualizados mo</w:t>
      </w:r>
      <w:r>
        <w:rPr>
          <w:rFonts w:ascii="Times New Roman" w:eastAsia="Times New Roman" w:hAnsi="Times New Roman" w:cs="Times New Roman"/>
          <w:sz w:val="24"/>
          <w:szCs w:val="24"/>
        </w:rPr>
        <w:t>netariamente, tendo por base o percentual correspondente à variação anual do INPC – Índice Nacional de Preço ao Consumidor, acumulada no período entre a data do vencimento da obrigação e a da apuração do valor devido para o seu lançamento, pagamento ou par</w:t>
      </w:r>
      <w:r>
        <w:rPr>
          <w:rFonts w:ascii="Times New Roman" w:eastAsia="Times New Roman" w:hAnsi="Times New Roman" w:cs="Times New Roman"/>
          <w:sz w:val="24"/>
          <w:szCs w:val="24"/>
        </w:rPr>
        <w:t>celamento.</w:t>
      </w:r>
    </w:p>
    <w:p w14:paraId="00000084"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32. Os créditos vencidos na Fazenda Municipal a título da Contribuição de Melhoria de que dispõe esta Lei, sujeitar-se-ão à incidência de juros de mora calculados à taxa de 1% (um por cento) ao mês.</w:t>
      </w:r>
    </w:p>
    <w:p w14:paraId="00000085"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§1º. Os juros de mora serão aplicados sob</w:t>
      </w:r>
      <w:r>
        <w:rPr>
          <w:rFonts w:ascii="Times New Roman" w:eastAsia="Times New Roman" w:hAnsi="Times New Roman" w:cs="Times New Roman"/>
          <w:sz w:val="24"/>
          <w:szCs w:val="24"/>
        </w:rPr>
        <w:t>re o valor do tributo atualizado e exigidos a partir do primeiro dia após o vencimento do débito.</w:t>
      </w:r>
    </w:p>
    <w:p w14:paraId="00000086"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§2º. As multas serão aplicadas e calculadas em 2% (dois por cento), sobre o tributo devido atualizado monetariamente, sem prejuízo de juros de mora.</w:t>
      </w:r>
    </w:p>
    <w:p w14:paraId="00000087"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 33. </w:t>
      </w:r>
      <w:r>
        <w:rPr>
          <w:rFonts w:ascii="Times New Roman" w:eastAsia="Times New Roman" w:hAnsi="Times New Roman" w:cs="Times New Roman"/>
          <w:sz w:val="24"/>
          <w:szCs w:val="24"/>
        </w:rPr>
        <w:t>É facultado ao sujeito passivo de obrigação tributária principal reclamar de lançamento de crédito tributário regularmente notificado, devendo no documento da impugnação/reclamação indicar o fato e os fundamentos jurídicos do pedido, suas especificações, a</w:t>
      </w:r>
      <w:r>
        <w:rPr>
          <w:rFonts w:ascii="Times New Roman" w:eastAsia="Times New Roman" w:hAnsi="Times New Roman" w:cs="Times New Roman"/>
          <w:sz w:val="24"/>
          <w:szCs w:val="24"/>
        </w:rPr>
        <w:t>s provas documentais e testemunhais com que pretende demonstrar a verdade dos fatos alegados e, em especial, poderá impugnar perante a Autoridade Administrativa de primeira instância, em face de erro na localização e dimensões do imóvel, do cálculo dos índ</w:t>
      </w:r>
      <w:r>
        <w:rPr>
          <w:rFonts w:ascii="Times New Roman" w:eastAsia="Times New Roman" w:hAnsi="Times New Roman" w:cs="Times New Roman"/>
          <w:sz w:val="24"/>
          <w:szCs w:val="24"/>
        </w:rPr>
        <w:t>ices atribuídos, do valor da contribuição e do número de prestações.</w:t>
      </w:r>
    </w:p>
    <w:p w14:paraId="00000088"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1º. O prazo para interpor a reclamação à Autoridade competente, mediante protocolo no Município de PRINCESA é de até 30(trinta) dias a contar do 1º dia útil seguinte à data da notificaç</w:t>
      </w:r>
      <w:r>
        <w:rPr>
          <w:rFonts w:ascii="Times New Roman" w:eastAsia="Times New Roman" w:hAnsi="Times New Roman" w:cs="Times New Roman"/>
          <w:sz w:val="24"/>
          <w:szCs w:val="24"/>
        </w:rPr>
        <w:t>ão do lançamento, cabendo ao contribuinte o ônus da prova, sem prejuízo do exame pelo Poder Judiciário.</w:t>
      </w:r>
    </w:p>
    <w:p w14:paraId="00000089"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2º. Serão consideradas inválidas as reclamações interpostas fora do prazo concedido para satisfação da obrigação a que se referir o lançamento ou a no</w:t>
      </w:r>
      <w:r>
        <w:rPr>
          <w:rFonts w:ascii="Times New Roman" w:eastAsia="Times New Roman" w:hAnsi="Times New Roman" w:cs="Times New Roman"/>
          <w:sz w:val="24"/>
          <w:szCs w:val="24"/>
        </w:rPr>
        <w:t>tificação</w:t>
      </w:r>
    </w:p>
    <w:p w14:paraId="0000008A"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34. O Secretário de Administração e Fazenda proferirá decisão de primeira instância, devidamente fundamentada e, quando cabível, aplicará as penalidades fixadas pela legislação tributária conforme previsto no Código Tributário Municipal (Lei</w:t>
      </w:r>
      <w:r>
        <w:rPr>
          <w:rFonts w:ascii="Times New Roman" w:eastAsia="Times New Roman" w:hAnsi="Times New Roman" w:cs="Times New Roman"/>
          <w:sz w:val="24"/>
          <w:szCs w:val="24"/>
        </w:rPr>
        <w:t xml:space="preserve"> Complementar Nº 018/2013, de 17 de dezembro de 2013).</w:t>
      </w:r>
    </w:p>
    <w:p w14:paraId="0000008B"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1º. A decisão deverá ser proferida em prazo não superior a 07 (sete dias), contados da data do recebimento do processo concluso.</w:t>
      </w:r>
    </w:p>
    <w:p w14:paraId="0000008C"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2º. Interrompe-se o prazo citado no parágrafo anterior sempre que houver diligência dos autos.</w:t>
      </w:r>
    </w:p>
    <w:p w14:paraId="0000008D"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35. A comunicação ao in</w:t>
      </w:r>
      <w:r>
        <w:rPr>
          <w:rFonts w:ascii="Times New Roman" w:eastAsia="Times New Roman" w:hAnsi="Times New Roman" w:cs="Times New Roman"/>
          <w:sz w:val="24"/>
          <w:szCs w:val="24"/>
        </w:rPr>
        <w:t>teressado da decisão proferida em primeira instância será feita:</w:t>
      </w:r>
    </w:p>
    <w:p w14:paraId="0000008E"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pessoalmente</w:t>
      </w:r>
      <w:proofErr w:type="gramEnd"/>
      <w:r>
        <w:rPr>
          <w:rFonts w:ascii="Times New Roman" w:eastAsia="Times New Roman" w:hAnsi="Times New Roman" w:cs="Times New Roman"/>
          <w:sz w:val="24"/>
          <w:szCs w:val="24"/>
        </w:rPr>
        <w:t>, por aposição do “ciente” no processo;</w:t>
      </w:r>
    </w:p>
    <w:p w14:paraId="0000008F"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 </w:t>
      </w:r>
      <w:proofErr w:type="gramStart"/>
      <w:r>
        <w:rPr>
          <w:rFonts w:ascii="Times New Roman" w:eastAsia="Times New Roman" w:hAnsi="Times New Roman" w:cs="Times New Roman"/>
          <w:sz w:val="24"/>
          <w:szCs w:val="24"/>
        </w:rPr>
        <w:t>pelo</w:t>
      </w:r>
      <w:proofErr w:type="gramEnd"/>
      <w:r>
        <w:rPr>
          <w:rFonts w:ascii="Times New Roman" w:eastAsia="Times New Roman" w:hAnsi="Times New Roman" w:cs="Times New Roman"/>
          <w:sz w:val="24"/>
          <w:szCs w:val="24"/>
        </w:rPr>
        <w:t xml:space="preserve"> correio, com aviso de recebimento mão própria (AR-MP) em caso de Contribuinte Pessoa Física e simples Aviso de Recebimento (A</w:t>
      </w:r>
      <w:r>
        <w:rPr>
          <w:rFonts w:ascii="Times New Roman" w:eastAsia="Times New Roman" w:hAnsi="Times New Roman" w:cs="Times New Roman"/>
          <w:sz w:val="24"/>
          <w:szCs w:val="24"/>
        </w:rPr>
        <w:t>R)em caso de Contribuinte Pessoa Jurídica, ou,</w:t>
      </w:r>
    </w:p>
    <w:p w14:paraId="00000090"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 por edital publicado em jornal de circulação local ou regional.</w:t>
      </w:r>
    </w:p>
    <w:p w14:paraId="00000091"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Parágrafo único. A comunicação indicará, obrigatoriamente, o prazo para interposição de recurso voluntário na instância superior.</w:t>
      </w:r>
    </w:p>
    <w:p w14:paraId="00000092"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 36. </w:t>
      </w:r>
      <w:r>
        <w:rPr>
          <w:rFonts w:ascii="Times New Roman" w:eastAsia="Times New Roman" w:hAnsi="Times New Roman" w:cs="Times New Roman"/>
          <w:sz w:val="24"/>
          <w:szCs w:val="24"/>
        </w:rPr>
        <w:t>O titular do órgão fazendário (fiscal) fica impedido de julgar quando:</w:t>
      </w:r>
    </w:p>
    <w:p w14:paraId="00000093"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 </w:t>
      </w:r>
      <w:proofErr w:type="gramStart"/>
      <w:r>
        <w:rPr>
          <w:rFonts w:ascii="Times New Roman" w:eastAsia="Times New Roman" w:hAnsi="Times New Roman" w:cs="Times New Roman"/>
          <w:sz w:val="24"/>
          <w:szCs w:val="24"/>
        </w:rPr>
        <w:t>tiver</w:t>
      </w:r>
      <w:proofErr w:type="gramEnd"/>
      <w:r>
        <w:rPr>
          <w:rFonts w:ascii="Times New Roman" w:eastAsia="Times New Roman" w:hAnsi="Times New Roman" w:cs="Times New Roman"/>
          <w:sz w:val="24"/>
          <w:szCs w:val="24"/>
        </w:rPr>
        <w:t xml:space="preserve"> participado diretamente da ação administrativa de lançamento que originou o litígio;</w:t>
      </w:r>
    </w:p>
    <w:p w14:paraId="00000094"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 </w:t>
      </w:r>
      <w:proofErr w:type="gramStart"/>
      <w:r>
        <w:rPr>
          <w:rFonts w:ascii="Times New Roman" w:eastAsia="Times New Roman" w:hAnsi="Times New Roman" w:cs="Times New Roman"/>
          <w:sz w:val="24"/>
          <w:szCs w:val="24"/>
        </w:rPr>
        <w:t>for</w:t>
      </w:r>
      <w:proofErr w:type="gramEnd"/>
      <w:r>
        <w:rPr>
          <w:rFonts w:ascii="Times New Roman" w:eastAsia="Times New Roman" w:hAnsi="Times New Roman" w:cs="Times New Roman"/>
          <w:sz w:val="24"/>
          <w:szCs w:val="24"/>
        </w:rPr>
        <w:t xml:space="preserve"> sócio, cotista ou acionista do notificado ou autuado;</w:t>
      </w:r>
    </w:p>
    <w:p w14:paraId="00000095"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III – estiverem envolvidos </w:t>
      </w:r>
      <w:r>
        <w:rPr>
          <w:rFonts w:ascii="Times New Roman" w:eastAsia="Times New Roman" w:hAnsi="Times New Roman" w:cs="Times New Roman"/>
          <w:sz w:val="24"/>
          <w:szCs w:val="24"/>
        </w:rPr>
        <w:t>no processo interesses de parentes até terceiro grau.</w:t>
      </w:r>
    </w:p>
    <w:p w14:paraId="00000096"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37. É facultado à parte interpor recurso voluntário quando a autoridade julgadora deixar de proferir decisão no prazo legal, dando-se como julgada improcedente a reclamação ou defesa, exceto no cas</w:t>
      </w:r>
      <w:r>
        <w:rPr>
          <w:rFonts w:ascii="Times New Roman" w:eastAsia="Times New Roman" w:hAnsi="Times New Roman" w:cs="Times New Roman"/>
          <w:sz w:val="24"/>
          <w:szCs w:val="24"/>
        </w:rPr>
        <w:t>o de suspensão do julgamento para diligência dos autos.</w:t>
      </w:r>
    </w:p>
    <w:p w14:paraId="00000097"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38. São consideradas definitivas e irrecorríveis as decisões proferidas em primeira instância após o trânsito em julgado, que se dará no prazo de 10 (dez) dias a partir da ciência pelo interessado.</w:t>
      </w:r>
    </w:p>
    <w:p w14:paraId="00000098"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39. As decisões de segunda instância, definitiva</w:t>
      </w:r>
      <w:r>
        <w:rPr>
          <w:rFonts w:ascii="Times New Roman" w:eastAsia="Times New Roman" w:hAnsi="Times New Roman" w:cs="Times New Roman"/>
          <w:sz w:val="24"/>
          <w:szCs w:val="24"/>
        </w:rPr>
        <w:t xml:space="preserve">s e irrecorríveis, pelo Conselho Municipal de Contribuintes ou na ausência deste será exercida pelo Prefeito Municipal, observados os prazos e demais normas previstas no Código Tributário Municipal (Lei Complementar Nº 018/2013, de 17 de dezembro de 2013) </w:t>
      </w:r>
      <w:r>
        <w:rPr>
          <w:rFonts w:ascii="Times New Roman" w:eastAsia="Times New Roman" w:hAnsi="Times New Roman" w:cs="Times New Roman"/>
          <w:sz w:val="24"/>
          <w:szCs w:val="24"/>
        </w:rPr>
        <w:t>e na legislação complementar no que couber.</w:t>
      </w:r>
    </w:p>
    <w:p w14:paraId="00000099"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1º. Mantido o lançamento, considera-se em decurso o prazo nele fixado para pagamento da Contribuição de Melhoria, desde a data da ciência do contribuinte;</w:t>
      </w:r>
    </w:p>
    <w:p w14:paraId="0000009A"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2º. A anulação do lançamento dos termos desta Lei não</w:t>
      </w:r>
      <w:r>
        <w:rPr>
          <w:rFonts w:ascii="Times New Roman" w:eastAsia="Times New Roman" w:hAnsi="Times New Roman" w:cs="Times New Roman"/>
          <w:sz w:val="24"/>
          <w:szCs w:val="24"/>
        </w:rPr>
        <w:t xml:space="preserve"> ilide a efetivação de novo, em substituição ao anterior, com as correções impostas pela impugnação/reclamação.</w:t>
      </w:r>
    </w:p>
    <w:p w14:paraId="0000009B"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Art. 40. Aplicam-se à Contribuição de Melhoria de que trata esta Lei, no que couber e lhe forem aplicáveis, as disposições contidas nos artigos </w:t>
      </w:r>
      <w:r>
        <w:rPr>
          <w:rFonts w:ascii="Times New Roman" w:eastAsia="Times New Roman" w:hAnsi="Times New Roman" w:cs="Times New Roman"/>
          <w:sz w:val="24"/>
          <w:szCs w:val="24"/>
        </w:rPr>
        <w:t>81 e 82, da Lei nº. 5.172/1966 (Código Tributário Nacional), Decreto-lei nº. 195/1967, Lei Complementar nº. 101/2000 (Lei de Responsabilidade Fiscal) e Lei nº. 10.257/2001 (Estatuto da Cidade).</w:t>
      </w:r>
    </w:p>
    <w:p w14:paraId="0000009C"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41. Para os fins da aplicação desta Lei, poderá a Autorid</w:t>
      </w:r>
      <w:r>
        <w:rPr>
          <w:rFonts w:ascii="Times New Roman" w:eastAsia="Times New Roman" w:hAnsi="Times New Roman" w:cs="Times New Roman"/>
          <w:sz w:val="24"/>
          <w:szCs w:val="24"/>
        </w:rPr>
        <w:t>ade Fiscal solicitar o apoio de servidores públicos que compõem o quadro da Municipalidade, em especial quanto à emissão de laudos técnicos e demais orientações que se fizerem necessárias, bem como solicitar auxílio à Comissão de Avaliação, nomeada através</w:t>
      </w:r>
      <w:r>
        <w:rPr>
          <w:rFonts w:ascii="Times New Roman" w:eastAsia="Times New Roman" w:hAnsi="Times New Roman" w:cs="Times New Roman"/>
          <w:sz w:val="24"/>
          <w:szCs w:val="24"/>
        </w:rPr>
        <w:t xml:space="preserve"> de Portaria Municipal, em estrita observância às normas legais indicadas nesta Lei.</w:t>
      </w:r>
    </w:p>
    <w:p w14:paraId="0000009D"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 42. Os prazos fixados nesta Lei, em consonância ao previsto no Código Tributário Municipal (Lei Complementar Nº 018/2013, de 17 de dezembro de 2013) serão contínuos, </w:t>
      </w:r>
      <w:r>
        <w:rPr>
          <w:rFonts w:ascii="Times New Roman" w:eastAsia="Times New Roman" w:hAnsi="Times New Roman" w:cs="Times New Roman"/>
          <w:sz w:val="24"/>
          <w:szCs w:val="24"/>
        </w:rPr>
        <w:t>excluindo-se, na sua contagem, o dia do início, e incluindo-se o do vencimento.</w:t>
      </w:r>
    </w:p>
    <w:p w14:paraId="0000009E"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1º. Os prazos só se iniciam ou vencem em dia de expediente normal na repartição que corra o processo ou deva ser praticado o ato.</w:t>
      </w:r>
    </w:p>
    <w:p w14:paraId="0000009F"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2º. Para os fins das disposições desta lei</w:t>
      </w:r>
      <w:r>
        <w:rPr>
          <w:rFonts w:ascii="Times New Roman" w:eastAsia="Times New Roman" w:hAnsi="Times New Roman" w:cs="Times New Roman"/>
          <w:sz w:val="24"/>
          <w:szCs w:val="24"/>
        </w:rPr>
        <w:t xml:space="preserve"> é considerado exercício o período compreendido entre os meses de janeiro a dezembro do ano civil.</w:t>
      </w:r>
    </w:p>
    <w:p w14:paraId="000000A0"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43. As despesas constantes da presente lei correrão por conta da dotação orçamentária específica.</w:t>
      </w:r>
    </w:p>
    <w:p w14:paraId="000000A1" w14:textId="77777777" w:rsidR="003E64B4" w:rsidRDefault="004D72A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44. Esta Lei entra em vigor na data de sua public</w:t>
      </w:r>
      <w:r>
        <w:rPr>
          <w:rFonts w:ascii="Times New Roman" w:eastAsia="Times New Roman" w:hAnsi="Times New Roman" w:cs="Times New Roman"/>
          <w:sz w:val="24"/>
          <w:szCs w:val="24"/>
        </w:rPr>
        <w:t>ação.</w:t>
      </w:r>
    </w:p>
    <w:p w14:paraId="000000A2" w14:textId="77777777" w:rsidR="003E64B4" w:rsidRDefault="003E64B4">
      <w:pPr>
        <w:jc w:val="both"/>
        <w:rPr>
          <w:rFonts w:ascii="Times New Roman" w:eastAsia="Times New Roman" w:hAnsi="Times New Roman" w:cs="Times New Roman"/>
          <w:sz w:val="24"/>
          <w:szCs w:val="24"/>
        </w:rPr>
      </w:pPr>
    </w:p>
    <w:p w14:paraId="000000A3" w14:textId="77777777" w:rsidR="003E64B4" w:rsidRDefault="004D72A4">
      <w:pPr>
        <w:pBdr>
          <w:top w:val="nil"/>
          <w:left w:val="nil"/>
          <w:bottom w:val="nil"/>
          <w:right w:val="nil"/>
          <w:between w:val="nil"/>
        </w:pBdr>
        <w:tabs>
          <w:tab w:val="left" w:pos="1701"/>
        </w:tabs>
        <w:spacing w:after="0" w:line="240" w:lineRule="auto"/>
        <w:jc w:val="center"/>
        <w:rPr>
          <w:smallCaps/>
          <w:color w:val="000000"/>
          <w:sz w:val="26"/>
          <w:szCs w:val="26"/>
        </w:rPr>
      </w:pPr>
      <w:r>
        <w:rPr>
          <w:smallCaps/>
          <w:color w:val="000000"/>
          <w:sz w:val="26"/>
          <w:szCs w:val="26"/>
        </w:rPr>
        <w:t xml:space="preserve">Gabinete do Prefeito Municipal de Princesa, </w:t>
      </w:r>
    </w:p>
    <w:p w14:paraId="000000A4" w14:textId="77777777" w:rsidR="003E64B4" w:rsidRDefault="004D72A4">
      <w:pPr>
        <w:pBdr>
          <w:top w:val="nil"/>
          <w:left w:val="nil"/>
          <w:bottom w:val="nil"/>
          <w:right w:val="nil"/>
          <w:between w:val="nil"/>
        </w:pBdr>
        <w:tabs>
          <w:tab w:val="left" w:pos="1701"/>
        </w:tabs>
        <w:spacing w:after="0" w:line="240" w:lineRule="auto"/>
        <w:jc w:val="center"/>
        <w:rPr>
          <w:smallCaps/>
        </w:rPr>
      </w:pPr>
      <w:r>
        <w:rPr>
          <w:smallCaps/>
          <w:color w:val="000000"/>
        </w:rPr>
        <w:t xml:space="preserve">Estado de Santa Catarina, </w:t>
      </w:r>
      <w:r>
        <w:rPr>
          <w:smallCaps/>
        </w:rPr>
        <w:t>19 de agosto de 2024.</w:t>
      </w:r>
    </w:p>
    <w:p w14:paraId="000000A5" w14:textId="77777777" w:rsidR="003E64B4" w:rsidRDefault="003E64B4">
      <w:pPr>
        <w:pBdr>
          <w:top w:val="nil"/>
          <w:left w:val="nil"/>
          <w:bottom w:val="nil"/>
          <w:right w:val="nil"/>
          <w:between w:val="nil"/>
        </w:pBdr>
        <w:tabs>
          <w:tab w:val="left" w:pos="1701"/>
        </w:tabs>
        <w:spacing w:after="0" w:line="240" w:lineRule="auto"/>
        <w:jc w:val="center"/>
        <w:rPr>
          <w:smallCaps/>
        </w:rPr>
      </w:pPr>
    </w:p>
    <w:p w14:paraId="000000A6" w14:textId="77777777" w:rsidR="003E64B4" w:rsidRDefault="003E64B4">
      <w:pPr>
        <w:pBdr>
          <w:top w:val="nil"/>
          <w:left w:val="nil"/>
          <w:bottom w:val="nil"/>
          <w:right w:val="nil"/>
          <w:between w:val="nil"/>
        </w:pBdr>
        <w:tabs>
          <w:tab w:val="left" w:pos="1701"/>
        </w:tabs>
        <w:spacing w:after="0" w:line="240" w:lineRule="auto"/>
        <w:jc w:val="center"/>
        <w:rPr>
          <w:smallCaps/>
        </w:rPr>
      </w:pPr>
    </w:p>
    <w:p w14:paraId="000000A7" w14:textId="77777777" w:rsidR="003E64B4" w:rsidRDefault="003E64B4">
      <w:pPr>
        <w:pBdr>
          <w:top w:val="nil"/>
          <w:left w:val="nil"/>
          <w:bottom w:val="nil"/>
          <w:right w:val="nil"/>
          <w:between w:val="nil"/>
        </w:pBdr>
        <w:tabs>
          <w:tab w:val="left" w:pos="1701"/>
        </w:tabs>
        <w:spacing w:after="0" w:line="240" w:lineRule="auto"/>
        <w:jc w:val="center"/>
        <w:rPr>
          <w:smallCaps/>
        </w:rPr>
      </w:pPr>
    </w:p>
    <w:p w14:paraId="000000A8" w14:textId="77777777" w:rsidR="003E64B4" w:rsidRDefault="004D72A4">
      <w:pPr>
        <w:spacing w:after="0" w:line="240" w:lineRule="auto"/>
        <w:jc w:val="center"/>
        <w:rPr>
          <w:b/>
        </w:rPr>
      </w:pPr>
      <w:r>
        <w:rPr>
          <w:b/>
        </w:rPr>
        <w:t>_____________________________________</w:t>
      </w:r>
    </w:p>
    <w:p w14:paraId="000000A9" w14:textId="77777777" w:rsidR="003E64B4" w:rsidRDefault="004D72A4">
      <w:pPr>
        <w:spacing w:after="0" w:line="240" w:lineRule="auto"/>
        <w:jc w:val="center"/>
        <w:rPr>
          <w:b/>
        </w:rPr>
      </w:pPr>
      <w:r>
        <w:rPr>
          <w:b/>
        </w:rPr>
        <w:t>EDILSON MIGUEL VOLKWEIS</w:t>
      </w:r>
    </w:p>
    <w:p w14:paraId="000000AA" w14:textId="77777777" w:rsidR="003E64B4" w:rsidRDefault="004D72A4">
      <w:pPr>
        <w:spacing w:after="0" w:line="240" w:lineRule="auto"/>
        <w:jc w:val="center"/>
        <w:rPr>
          <w:smallCaps/>
        </w:rPr>
      </w:pPr>
      <w:r>
        <w:rPr>
          <w:smallCaps/>
        </w:rPr>
        <w:t>Prefeito Municipal</w:t>
      </w:r>
    </w:p>
    <w:sectPr w:rsidR="003E64B4">
      <w:headerReference w:type="even" r:id="rId8"/>
      <w:footerReference w:type="default" r:id="rId9"/>
      <w:headerReference w:type="first" r:id="rId10"/>
      <w:pgSz w:w="11906" w:h="16838"/>
      <w:pgMar w:top="2268" w:right="707" w:bottom="624" w:left="1701"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E2E735" w14:textId="77777777" w:rsidR="004D72A4" w:rsidRDefault="004D72A4">
      <w:pPr>
        <w:spacing w:after="0" w:line="240" w:lineRule="auto"/>
      </w:pPr>
      <w:r>
        <w:separator/>
      </w:r>
    </w:p>
  </w:endnote>
  <w:endnote w:type="continuationSeparator" w:id="0">
    <w:p w14:paraId="69168C87" w14:textId="77777777" w:rsidR="004D72A4" w:rsidRDefault="004D7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Noto Sans Symbols">
    <w:charset w:val="00"/>
    <w:family w:val="auto"/>
    <w:pitch w:val="default"/>
  </w:font>
  <w:font w:name="Courier New">
    <w:panose1 w:val="02070309020205020404"/>
    <w:charset w:val="0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AD" w14:textId="036ED24F" w:rsidR="003E64B4" w:rsidRDefault="004D72A4">
    <w:pPr>
      <w:widowControl w:val="0"/>
      <w:pBdr>
        <w:top w:val="nil"/>
        <w:left w:val="nil"/>
        <w:bottom w:val="nil"/>
        <w:right w:val="nil"/>
        <w:between w:val="nil"/>
      </w:pBdr>
      <w:tabs>
        <w:tab w:val="center" w:pos="4252"/>
        <w:tab w:val="right" w:pos="8504"/>
      </w:tabs>
      <w:spacing w:before="180" w:after="0" w:line="240" w:lineRule="auto"/>
      <w:jc w:val="right"/>
      <w:rPr>
        <w:rFonts w:ascii="Arial" w:eastAsia="Arial" w:hAnsi="Arial" w:cs="Arial"/>
        <w:color w:val="000000"/>
        <w:sz w:val="16"/>
        <w:szCs w:val="16"/>
      </w:rPr>
    </w:pPr>
    <w:r>
      <w:rPr>
        <w:rFonts w:ascii="Arial" w:eastAsia="Arial" w:hAnsi="Arial" w:cs="Arial"/>
        <w:color w:val="000000"/>
        <w:sz w:val="16"/>
        <w:szCs w:val="16"/>
      </w:rPr>
      <w:t xml:space="preserve">Página </w:t>
    </w:r>
    <w:r>
      <w:rPr>
        <w:rFonts w:ascii="Arial" w:eastAsia="Arial" w:hAnsi="Arial" w:cs="Arial"/>
        <w:b/>
        <w:color w:val="000000"/>
        <w:sz w:val="16"/>
        <w:szCs w:val="16"/>
      </w:rPr>
      <w:fldChar w:fldCharType="begin"/>
    </w:r>
    <w:r>
      <w:rPr>
        <w:rFonts w:ascii="Arial" w:eastAsia="Arial" w:hAnsi="Arial" w:cs="Arial"/>
        <w:b/>
        <w:color w:val="000000"/>
        <w:sz w:val="16"/>
        <w:szCs w:val="16"/>
      </w:rPr>
      <w:instrText>PAGE</w:instrText>
    </w:r>
    <w:r w:rsidR="00B9542B">
      <w:rPr>
        <w:rFonts w:ascii="Arial" w:eastAsia="Arial" w:hAnsi="Arial" w:cs="Arial"/>
        <w:b/>
        <w:color w:val="000000"/>
        <w:sz w:val="16"/>
        <w:szCs w:val="16"/>
      </w:rPr>
      <w:fldChar w:fldCharType="separate"/>
    </w:r>
    <w:r w:rsidR="00B9542B">
      <w:rPr>
        <w:rFonts w:ascii="Arial" w:eastAsia="Arial" w:hAnsi="Arial" w:cs="Arial"/>
        <w:b/>
        <w:noProof/>
        <w:color w:val="000000"/>
        <w:sz w:val="16"/>
        <w:szCs w:val="16"/>
      </w:rPr>
      <w:t>1</w:t>
    </w:r>
    <w:r>
      <w:rPr>
        <w:rFonts w:ascii="Arial" w:eastAsia="Arial" w:hAnsi="Arial" w:cs="Arial"/>
        <w:b/>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b/>
        <w:color w:val="000000"/>
        <w:sz w:val="16"/>
        <w:szCs w:val="16"/>
      </w:rPr>
      <w:fldChar w:fldCharType="begin"/>
    </w:r>
    <w:r>
      <w:rPr>
        <w:rFonts w:ascii="Arial" w:eastAsia="Arial" w:hAnsi="Arial" w:cs="Arial"/>
        <w:b/>
        <w:color w:val="000000"/>
        <w:sz w:val="16"/>
        <w:szCs w:val="16"/>
      </w:rPr>
      <w:instrText>NUMPAGES</w:instrText>
    </w:r>
    <w:r w:rsidR="00B9542B">
      <w:rPr>
        <w:rFonts w:ascii="Arial" w:eastAsia="Arial" w:hAnsi="Arial" w:cs="Arial"/>
        <w:b/>
        <w:color w:val="000000"/>
        <w:sz w:val="16"/>
        <w:szCs w:val="16"/>
      </w:rPr>
      <w:fldChar w:fldCharType="separate"/>
    </w:r>
    <w:r w:rsidR="00B9542B">
      <w:rPr>
        <w:rFonts w:ascii="Arial" w:eastAsia="Arial" w:hAnsi="Arial" w:cs="Arial"/>
        <w:b/>
        <w:noProof/>
        <w:color w:val="000000"/>
        <w:sz w:val="16"/>
        <w:szCs w:val="16"/>
      </w:rPr>
      <w:t>1</w:t>
    </w:r>
    <w:r>
      <w:rPr>
        <w:rFonts w:ascii="Arial" w:eastAsia="Arial" w:hAnsi="Arial" w:cs="Arial"/>
        <w:b/>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DFD0A5" w14:textId="77777777" w:rsidR="004D72A4" w:rsidRDefault="004D72A4">
      <w:pPr>
        <w:spacing w:after="0" w:line="240" w:lineRule="auto"/>
      </w:pPr>
      <w:r>
        <w:separator/>
      </w:r>
    </w:p>
  </w:footnote>
  <w:footnote w:type="continuationSeparator" w:id="0">
    <w:p w14:paraId="3E8605FC" w14:textId="77777777" w:rsidR="004D72A4" w:rsidRDefault="004D72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AC" w14:textId="77777777" w:rsidR="003E64B4" w:rsidRDefault="004D72A4">
    <w:pPr>
      <w:widowControl w:val="0"/>
      <w:pBdr>
        <w:top w:val="nil"/>
        <w:left w:val="nil"/>
        <w:bottom w:val="nil"/>
        <w:right w:val="nil"/>
        <w:between w:val="nil"/>
      </w:pBdr>
      <w:tabs>
        <w:tab w:val="center" w:pos="4252"/>
        <w:tab w:val="right" w:pos="8504"/>
      </w:tabs>
      <w:spacing w:before="180" w:after="0" w:line="240" w:lineRule="auto"/>
      <w:rPr>
        <w:rFonts w:ascii="Arial" w:eastAsia="Arial" w:hAnsi="Arial" w:cs="Arial"/>
        <w:color w:val="000080"/>
        <w:sz w:val="24"/>
        <w:szCs w:val="24"/>
      </w:rPr>
    </w:pPr>
    <w:r>
      <w:rPr>
        <w:rFonts w:ascii="Arial" w:eastAsia="Arial" w:hAnsi="Arial" w:cs="Arial"/>
        <w:color w:val="000080"/>
        <w:sz w:val="24"/>
        <w:szCs w:val="24"/>
      </w:rPr>
      <w:pict w14:anchorId="0187CB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 style="position:absolute;margin-left:0;margin-top:0;width:474.6pt;height:467.4pt;z-index:-251658240;mso-position-horizontal:center;mso-position-horizontal-relative:margin;mso-position-vertical:center;mso-position-vertical-relative:margin">
          <v:imagedata r:id="rId1" o:title="image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AB" w14:textId="77777777" w:rsidR="003E64B4" w:rsidRDefault="004D72A4">
    <w:pPr>
      <w:widowControl w:val="0"/>
      <w:pBdr>
        <w:top w:val="nil"/>
        <w:left w:val="nil"/>
        <w:bottom w:val="nil"/>
        <w:right w:val="nil"/>
        <w:between w:val="nil"/>
      </w:pBdr>
      <w:tabs>
        <w:tab w:val="center" w:pos="4252"/>
        <w:tab w:val="right" w:pos="8504"/>
      </w:tabs>
      <w:spacing w:before="180" w:after="0" w:line="240" w:lineRule="auto"/>
      <w:rPr>
        <w:rFonts w:ascii="Arial" w:eastAsia="Arial" w:hAnsi="Arial" w:cs="Arial"/>
        <w:color w:val="000080"/>
        <w:sz w:val="24"/>
        <w:szCs w:val="24"/>
      </w:rPr>
    </w:pPr>
    <w:r>
      <w:rPr>
        <w:rFonts w:ascii="Arial" w:eastAsia="Arial" w:hAnsi="Arial" w:cs="Arial"/>
        <w:color w:val="000080"/>
        <w:sz w:val="24"/>
        <w:szCs w:val="24"/>
      </w:rPr>
      <w:pict w14:anchorId="0DFEC4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0" type="#_x0000_t75" alt="" style="position:absolute;margin-left:0;margin-top:0;width:474.6pt;height:467.4pt;z-index:-251659264;mso-position-horizontal:center;mso-position-horizontal-relative:margin;mso-position-vertical:center;mso-position-vertical-relative:margin">
          <v:imagedata r:id="rId1" o:title="image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350B2F"/>
    <w:multiLevelType w:val="multilevel"/>
    <w:tmpl w:val="8C16CE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21AF6221"/>
    <w:multiLevelType w:val="multilevel"/>
    <w:tmpl w:val="9DD8D6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4B4"/>
    <w:rsid w:val="003E64B4"/>
    <w:rsid w:val="004D72A4"/>
    <w:rsid w:val="00B954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A1901EA"/>
  <w15:docId w15:val="{0A62A50F-DC8A-450D-85B1-2C598C95D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1517"/>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Cabealho">
    <w:name w:val="header"/>
    <w:basedOn w:val="Normal"/>
    <w:link w:val="CabealhoChar"/>
    <w:uiPriority w:val="99"/>
    <w:unhideWhenUsed/>
    <w:rsid w:val="00E91C69"/>
    <w:pPr>
      <w:widowControl w:val="0"/>
      <w:tabs>
        <w:tab w:val="center" w:pos="4252"/>
        <w:tab w:val="right" w:pos="8504"/>
      </w:tabs>
      <w:suppressAutoHyphens/>
      <w:autoSpaceDE w:val="0"/>
      <w:spacing w:before="180" w:after="0" w:line="240" w:lineRule="auto"/>
    </w:pPr>
    <w:rPr>
      <w:rFonts w:ascii="Arial" w:eastAsia="Times New Roman" w:hAnsi="Arial" w:cs="Arial"/>
      <w:color w:val="000080"/>
      <w:sz w:val="24"/>
      <w:szCs w:val="24"/>
      <w:lang w:eastAsia="ar-SA"/>
    </w:rPr>
  </w:style>
  <w:style w:type="character" w:customStyle="1" w:styleId="CabealhoChar">
    <w:name w:val="Cabeçalho Char"/>
    <w:basedOn w:val="Fontepargpadro"/>
    <w:link w:val="Cabealho"/>
    <w:uiPriority w:val="99"/>
    <w:rsid w:val="00E91C69"/>
  </w:style>
  <w:style w:type="paragraph" w:styleId="Rodap">
    <w:name w:val="footer"/>
    <w:basedOn w:val="Normal"/>
    <w:link w:val="RodapChar"/>
    <w:uiPriority w:val="99"/>
    <w:unhideWhenUsed/>
    <w:rsid w:val="00E91C69"/>
    <w:pPr>
      <w:widowControl w:val="0"/>
      <w:tabs>
        <w:tab w:val="center" w:pos="4252"/>
        <w:tab w:val="right" w:pos="8504"/>
      </w:tabs>
      <w:suppressAutoHyphens/>
      <w:autoSpaceDE w:val="0"/>
      <w:spacing w:before="180" w:after="0" w:line="240" w:lineRule="auto"/>
    </w:pPr>
    <w:rPr>
      <w:rFonts w:ascii="Arial" w:eastAsia="Times New Roman" w:hAnsi="Arial" w:cs="Arial"/>
      <w:color w:val="000080"/>
      <w:sz w:val="24"/>
      <w:szCs w:val="24"/>
      <w:lang w:eastAsia="ar-SA"/>
    </w:rPr>
  </w:style>
  <w:style w:type="character" w:customStyle="1" w:styleId="RodapChar">
    <w:name w:val="Rodapé Char"/>
    <w:basedOn w:val="Fontepargpadro"/>
    <w:link w:val="Rodap"/>
    <w:uiPriority w:val="99"/>
    <w:rsid w:val="00E91C69"/>
  </w:style>
  <w:style w:type="paragraph" w:styleId="PargrafodaLista">
    <w:name w:val="List Paragraph"/>
    <w:basedOn w:val="Normal"/>
    <w:uiPriority w:val="34"/>
    <w:qFormat/>
    <w:rsid w:val="00192652"/>
    <w:pPr>
      <w:widowControl w:val="0"/>
      <w:suppressAutoHyphens/>
      <w:autoSpaceDE w:val="0"/>
      <w:spacing w:before="180" w:after="180" w:line="240" w:lineRule="auto"/>
      <w:ind w:left="720"/>
      <w:contextualSpacing/>
    </w:pPr>
    <w:rPr>
      <w:rFonts w:ascii="Arial" w:eastAsia="Times New Roman" w:hAnsi="Arial" w:cs="Arial"/>
      <w:color w:val="000080"/>
      <w:sz w:val="24"/>
      <w:szCs w:val="24"/>
      <w:lang w:eastAsia="ar-SA"/>
    </w:rPr>
  </w:style>
  <w:style w:type="character" w:styleId="Hyperlink">
    <w:name w:val="Hyperlink"/>
    <w:rsid w:val="005574D3"/>
    <w:rPr>
      <w:color w:val="0000FF"/>
      <w:u w:val="single"/>
    </w:rPr>
  </w:style>
  <w:style w:type="paragraph" w:styleId="NormalWeb">
    <w:name w:val="Normal (Web)"/>
    <w:basedOn w:val="Normal"/>
    <w:uiPriority w:val="99"/>
    <w:rsid w:val="005574D3"/>
    <w:pPr>
      <w:spacing w:before="100" w:beforeAutospacing="1" w:after="119" w:line="240" w:lineRule="auto"/>
    </w:pPr>
    <w:rPr>
      <w:rFonts w:ascii="Times New Roman" w:eastAsia="Times New Roman" w:hAnsi="Times New Roman" w:cs="Times New Roman"/>
      <w:sz w:val="24"/>
      <w:szCs w:val="24"/>
    </w:rPr>
  </w:style>
  <w:style w:type="paragraph" w:styleId="CitaoIntensa">
    <w:name w:val="Intense Quote"/>
    <w:basedOn w:val="Normal"/>
    <w:next w:val="Normal"/>
    <w:link w:val="CitaoIntensaChar"/>
    <w:uiPriority w:val="30"/>
    <w:qFormat/>
    <w:rsid w:val="005574D3"/>
    <w:pPr>
      <w:widowControl w:val="0"/>
      <w:pBdr>
        <w:top w:val="single" w:sz="4" w:space="10" w:color="4F81BD" w:themeColor="accent1"/>
        <w:bottom w:val="single" w:sz="4" w:space="10" w:color="4F81BD" w:themeColor="accent1"/>
      </w:pBdr>
      <w:suppressAutoHyphens/>
      <w:autoSpaceDE w:val="0"/>
      <w:spacing w:before="360" w:after="360" w:line="240" w:lineRule="auto"/>
      <w:ind w:left="864" w:right="864"/>
      <w:jc w:val="center"/>
    </w:pPr>
    <w:rPr>
      <w:rFonts w:ascii="Arial" w:eastAsia="Times New Roman" w:hAnsi="Arial" w:cs="Arial"/>
      <w:i/>
      <w:iCs/>
      <w:color w:val="4F81BD" w:themeColor="accent1"/>
      <w:sz w:val="24"/>
      <w:szCs w:val="24"/>
      <w:lang w:eastAsia="ar-SA"/>
    </w:rPr>
  </w:style>
  <w:style w:type="character" w:customStyle="1" w:styleId="CitaoIntensaChar">
    <w:name w:val="Citação Intensa Char"/>
    <w:basedOn w:val="Fontepargpadro"/>
    <w:link w:val="CitaoIntensa"/>
    <w:uiPriority w:val="30"/>
    <w:rsid w:val="005574D3"/>
    <w:rPr>
      <w:rFonts w:ascii="Arial" w:eastAsia="Times New Roman" w:hAnsi="Arial" w:cs="Arial"/>
      <w:i/>
      <w:iCs/>
      <w:color w:val="4F81BD" w:themeColor="accent1"/>
      <w:sz w:val="24"/>
      <w:szCs w:val="24"/>
      <w:lang w:eastAsia="ar-SA"/>
    </w:rPr>
  </w:style>
  <w:style w:type="character" w:customStyle="1" w:styleId="fontstyle01">
    <w:name w:val="fontstyle01"/>
    <w:basedOn w:val="Fontepargpadro"/>
    <w:rsid w:val="005574D3"/>
    <w:rPr>
      <w:rFonts w:ascii="Times New Roman" w:hAnsi="Times New Roman" w:cs="Times New Roman" w:hint="default"/>
      <w:b w:val="0"/>
      <w:bCs w:val="0"/>
      <w:i w:val="0"/>
      <w:iCs w:val="0"/>
      <w:color w:val="000000"/>
      <w:sz w:val="24"/>
      <w:szCs w:val="24"/>
    </w:rPr>
  </w:style>
  <w:style w:type="paragraph" w:styleId="Textodebalo">
    <w:name w:val="Balloon Text"/>
    <w:basedOn w:val="Normal"/>
    <w:link w:val="TextodebaloChar"/>
    <w:uiPriority w:val="99"/>
    <w:semiHidden/>
    <w:unhideWhenUsed/>
    <w:rsid w:val="00AF5CD1"/>
    <w:pPr>
      <w:widowControl w:val="0"/>
      <w:suppressAutoHyphens/>
      <w:autoSpaceDE w:val="0"/>
      <w:spacing w:after="0" w:line="240" w:lineRule="auto"/>
    </w:pPr>
    <w:rPr>
      <w:rFonts w:ascii="Segoe UI" w:eastAsia="Times New Roman" w:hAnsi="Segoe UI" w:cs="Segoe UI"/>
      <w:color w:val="000080"/>
      <w:sz w:val="18"/>
      <w:szCs w:val="18"/>
      <w:lang w:eastAsia="ar-SA"/>
    </w:rPr>
  </w:style>
  <w:style w:type="character" w:customStyle="1" w:styleId="TextodebaloChar">
    <w:name w:val="Texto de balão Char"/>
    <w:basedOn w:val="Fontepargpadro"/>
    <w:link w:val="Textodebalo"/>
    <w:uiPriority w:val="99"/>
    <w:semiHidden/>
    <w:rsid w:val="00AF5CD1"/>
    <w:rPr>
      <w:rFonts w:ascii="Segoe UI" w:eastAsia="Times New Roman" w:hAnsi="Segoe UI" w:cs="Segoe UI"/>
      <w:color w:val="000080"/>
      <w:sz w:val="18"/>
      <w:szCs w:val="18"/>
      <w:lang w:eastAsia="ar-SA"/>
    </w:rPr>
  </w:style>
  <w:style w:type="character" w:customStyle="1" w:styleId="label">
    <w:name w:val="label"/>
    <w:basedOn w:val="Fontepargpadro"/>
    <w:rsid w:val="005F014B"/>
  </w:style>
  <w:style w:type="character" w:styleId="RefernciaIntensa">
    <w:name w:val="Intense Reference"/>
    <w:basedOn w:val="Fontepargpadro"/>
    <w:uiPriority w:val="32"/>
    <w:qFormat/>
    <w:rsid w:val="000973AE"/>
    <w:rPr>
      <w:b/>
      <w:bCs/>
      <w:smallCaps/>
      <w:color w:val="C0504D" w:themeColor="accent2"/>
      <w:spacing w:val="5"/>
      <w:u w:val="single"/>
    </w:rPr>
  </w:style>
  <w:style w:type="paragraph" w:styleId="Corpodetexto">
    <w:name w:val="Body Text"/>
    <w:basedOn w:val="Normal"/>
    <w:link w:val="CorpodetextoChar"/>
    <w:uiPriority w:val="99"/>
    <w:unhideWhenUsed/>
    <w:rsid w:val="00F51517"/>
    <w:pPr>
      <w:spacing w:after="120" w:line="276" w:lineRule="auto"/>
    </w:pPr>
    <w:rPr>
      <w:rFonts w:eastAsia="Times New Roman" w:cs="Times New Roman"/>
    </w:rPr>
  </w:style>
  <w:style w:type="character" w:customStyle="1" w:styleId="CorpodetextoChar">
    <w:name w:val="Corpo de texto Char"/>
    <w:basedOn w:val="Fontepargpadro"/>
    <w:link w:val="Corpodetexto"/>
    <w:uiPriority w:val="99"/>
    <w:rsid w:val="00F51517"/>
    <w:rPr>
      <w:rFonts w:ascii="Calibri" w:eastAsia="Times New Roman" w:hAnsi="Calibri" w:cs="Times New Roman"/>
      <w:lang w:eastAsia="pt-BR"/>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9Hb7KZF0WmNQZBYtwj2KywI+pg==">CgMxLjA4AHIhMVQzRDRBdUcxTzk5X2xWREUybDBZUkFWYmJUZ1U5OHln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4522</Words>
  <Characters>24424</Characters>
  <Application>Microsoft Office Word</Application>
  <DocSecurity>0</DocSecurity>
  <Lines>203</Lines>
  <Paragraphs>57</Paragraphs>
  <ScaleCrop>false</ScaleCrop>
  <Company/>
  <LinksUpToDate>false</LinksUpToDate>
  <CharactersWithSpaces>28889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Particular</cp:lastModifiedBy>
  <cp:revision>2</cp:revision>
  <cp:lastPrinted>2024-08-19T19:56:00Z</cp:lastPrinted>
  <dcterms:created xsi:type="dcterms:W3CDTF">2024-08-19T19:57:00Z</dcterms:created>
  <dcterms:modified xsi:type="dcterms:W3CDTF">2024-08-19T19:57:00Z</dcterms:modified>
</cp:coreProperties>
</file>