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9C95B" w14:textId="77777777" w:rsidR="003F4C62" w:rsidRPr="003F4C62" w:rsidRDefault="003F4C62" w:rsidP="003F4C62">
      <w:pPr>
        <w:jc w:val="both"/>
        <w:rPr>
          <w:rFonts w:ascii="Garamond" w:hAnsi="Garamond"/>
          <w:b/>
          <w:bCs/>
          <w:noProof/>
        </w:rPr>
      </w:pPr>
      <w:r w:rsidRPr="005773AC">
        <w:rPr>
          <w:rFonts w:ascii="Garamond" w:hAnsi="Garamond"/>
          <w:noProof/>
        </w:rPr>
        <w:drawing>
          <wp:anchor distT="0" distB="0" distL="114300" distR="114300" simplePos="0" relativeHeight="251659264" behindDoc="1" locked="0" layoutInCell="1" allowOverlap="1" wp14:anchorId="5452931C" wp14:editId="7EE27F4C">
            <wp:simplePos x="0" y="0"/>
            <wp:positionH relativeFrom="page">
              <wp:align>left</wp:align>
            </wp:positionH>
            <wp:positionV relativeFrom="paragraph">
              <wp:posOffset>-899160</wp:posOffset>
            </wp:positionV>
            <wp:extent cx="7559675" cy="10687050"/>
            <wp:effectExtent l="0" t="0" r="3175" b="0"/>
            <wp:wrapNone/>
            <wp:docPr id="178394652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73AC">
        <w:rPr>
          <w:rFonts w:ascii="Garamond" w:hAnsi="Garamond"/>
          <w:b/>
          <w:bCs/>
          <w:noProof/>
        </w:rPr>
        <w:t>PARECER DA COMISSÃO DE FINANÇAS E ORÇAMENTO</w:t>
      </w:r>
      <w:r w:rsidRPr="005773AC">
        <w:rPr>
          <w:rFonts w:ascii="Garamond" w:hAnsi="Garamond"/>
          <w:noProof/>
        </w:rPr>
        <w:t xml:space="preserve"> </w:t>
      </w:r>
      <w:r w:rsidRPr="003F4C62">
        <w:rPr>
          <w:rFonts w:ascii="Garamond" w:hAnsi="Garamond"/>
          <w:b/>
          <w:bCs/>
          <w:noProof/>
        </w:rPr>
        <w:t>SOBRE A EMENDA MODIFICATIVA Nº 004/2026 À MEDIDA PROVISÓRIA Nº 77/2026</w:t>
      </w:r>
    </w:p>
    <w:p w14:paraId="7C1BF0F8" w14:textId="461E6AAB" w:rsidR="003F4C62" w:rsidRPr="00246E54" w:rsidRDefault="003F4C62" w:rsidP="003F4C62">
      <w:pPr>
        <w:jc w:val="both"/>
        <w:rPr>
          <w:rFonts w:ascii="Garamond" w:hAnsi="Garamond"/>
        </w:rPr>
      </w:pPr>
    </w:p>
    <w:p w14:paraId="309F258E" w14:textId="77777777" w:rsidR="003F4C62" w:rsidRPr="003F4C62" w:rsidRDefault="003F4C62" w:rsidP="003F4C62">
      <w:pPr>
        <w:jc w:val="both"/>
        <w:rPr>
          <w:rFonts w:ascii="Garamond" w:hAnsi="Garamond"/>
          <w:sz w:val="20"/>
          <w:szCs w:val="20"/>
          <w:u w:val="single"/>
        </w:rPr>
      </w:pPr>
      <w:bookmarkStart w:id="0" w:name="_Hlk223560180"/>
      <w:r w:rsidRPr="004E5370">
        <w:rPr>
          <w:rFonts w:ascii="Garamond" w:hAnsi="Garamond"/>
          <w:b/>
          <w:bCs/>
          <w:sz w:val="22"/>
          <w:szCs w:val="22"/>
        </w:rPr>
        <w:t>EMENTA:</w:t>
      </w:r>
      <w:r w:rsidRPr="004E5370">
        <w:rPr>
          <w:rFonts w:ascii="Garamond" w:hAnsi="Garamond"/>
          <w:sz w:val="22"/>
          <w:szCs w:val="22"/>
        </w:rPr>
        <w:t xml:space="preserve"> </w:t>
      </w:r>
      <w:r w:rsidRPr="003F4C62">
        <w:rPr>
          <w:rFonts w:ascii="Garamond" w:hAnsi="Garamond"/>
          <w:sz w:val="20"/>
          <w:szCs w:val="20"/>
          <w:u w:val="single"/>
        </w:rPr>
        <w:t>PARECER. EMENDA MODIFICATIVA DE ORIGEM PARLAMENTAR. AGENTES DE COMBATE ÀS ENDEMIAS. ALTERAÇÃO DA DESTINAÇÃO DE RECURSOS FEDERAIS. RENÚNCIA DE RECEITA PARA CUSTEIO MUNICIPAL. AUMENTO DE DESPESA LÍQUIDA.</w:t>
      </w:r>
    </w:p>
    <w:p w14:paraId="56F8635C" w14:textId="64708C94" w:rsidR="003F4C62" w:rsidRPr="005773AC" w:rsidRDefault="003F4C62" w:rsidP="003F4C62">
      <w:pPr>
        <w:jc w:val="both"/>
        <w:rPr>
          <w:rFonts w:ascii="Garamond" w:hAnsi="Garamond"/>
          <w:sz w:val="20"/>
          <w:szCs w:val="20"/>
          <w:u w:val="single"/>
        </w:rPr>
      </w:pPr>
    </w:p>
    <w:p w14:paraId="1208B7A3" w14:textId="77777777" w:rsidR="003F4C62" w:rsidRPr="004E5370" w:rsidRDefault="003F4C62" w:rsidP="003F4C62">
      <w:pPr>
        <w:jc w:val="both"/>
        <w:rPr>
          <w:rFonts w:ascii="Garamond" w:hAnsi="Garamond"/>
          <w:sz w:val="22"/>
          <w:szCs w:val="22"/>
        </w:rPr>
      </w:pPr>
    </w:p>
    <w:p w14:paraId="73799B50" w14:textId="77777777" w:rsidR="003F4C62" w:rsidRPr="00246E54" w:rsidRDefault="003F4C62" w:rsidP="003F4C62">
      <w:pPr>
        <w:ind w:left="4248"/>
        <w:jc w:val="both"/>
        <w:rPr>
          <w:rFonts w:ascii="Garamond" w:hAnsi="Garamond"/>
        </w:rPr>
      </w:pPr>
    </w:p>
    <w:bookmarkEnd w:id="0"/>
    <w:p w14:paraId="1B48479F" w14:textId="77777777" w:rsidR="003F4C62" w:rsidRPr="00246E54" w:rsidRDefault="003F4C62" w:rsidP="003F4C62">
      <w:pPr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I – </w:t>
      </w:r>
      <w:r>
        <w:rPr>
          <w:rFonts w:ascii="Garamond" w:hAnsi="Garamond"/>
          <w:b/>
          <w:bCs/>
        </w:rPr>
        <w:t>RELATÓRIO</w:t>
      </w:r>
    </w:p>
    <w:p w14:paraId="0CD9F9C7" w14:textId="77777777" w:rsidR="003F4C62" w:rsidRPr="003F4C62" w:rsidRDefault="003F4C62" w:rsidP="003F4C62">
      <w:pPr>
        <w:jc w:val="both"/>
        <w:rPr>
          <w:rFonts w:ascii="Garamond" w:hAnsi="Garamond"/>
        </w:rPr>
      </w:pPr>
      <w:r w:rsidRPr="003F4C62">
        <w:rPr>
          <w:rFonts w:ascii="Garamond" w:hAnsi="Garamond"/>
        </w:rPr>
        <w:t>Vem a esta Comissão de Finanças e Orçamento (CFO), para análise, a Emenda Modificativa nº 004/2026, de iniciativa parlamentar, que altera a Medida Provisória nº 77/2026. A referida Medida Provisória, de autoria do Poder Executivo, trata da concessão do Incentivo Financeiro Adicional (IFA) aos Agentes de Combate às Endemias (ACE).</w:t>
      </w:r>
    </w:p>
    <w:p w14:paraId="214FF8E6" w14:textId="77777777" w:rsidR="003F4C62" w:rsidRPr="003F4C62" w:rsidRDefault="003F4C62" w:rsidP="003F4C62">
      <w:pPr>
        <w:jc w:val="both"/>
        <w:rPr>
          <w:rFonts w:ascii="Garamond" w:hAnsi="Garamond"/>
        </w:rPr>
      </w:pPr>
      <w:r w:rsidRPr="003F4C62">
        <w:rPr>
          <w:rFonts w:ascii="Garamond" w:hAnsi="Garamond"/>
        </w:rPr>
        <w:t xml:space="preserve">A emenda propõe que </w:t>
      </w:r>
      <w:r w:rsidRPr="003F4C62">
        <w:rPr>
          <w:rFonts w:ascii="Garamond" w:hAnsi="Garamond"/>
          <w:b/>
          <w:bCs/>
        </w:rPr>
        <w:t>100% (cem por cento)</w:t>
      </w:r>
      <w:r w:rsidRPr="003F4C62">
        <w:rPr>
          <w:rFonts w:ascii="Garamond" w:hAnsi="Garamond"/>
        </w:rPr>
        <w:t xml:space="preserve"> do valor do incentivo, transferido pela União, seja repassado aos agentes. Conforme a justificativa da própria emenda, o texto original da Medida Provisória destinava </w:t>
      </w:r>
      <w:r w:rsidRPr="003F4C62">
        <w:rPr>
          <w:rFonts w:ascii="Garamond" w:hAnsi="Garamond"/>
          <w:b/>
          <w:bCs/>
        </w:rPr>
        <w:t>38%</w:t>
      </w:r>
      <w:r w:rsidRPr="003F4C62">
        <w:rPr>
          <w:rFonts w:ascii="Garamond" w:hAnsi="Garamond"/>
        </w:rPr>
        <w:t xml:space="preserve"> desse montante para o custeio de despesas do Município, o que deixará de ocorrer caso a emenda seja aprovada.</w:t>
      </w:r>
    </w:p>
    <w:p w14:paraId="6FE21589" w14:textId="77777777" w:rsidR="003F4C62" w:rsidRPr="00D61CA8" w:rsidRDefault="003F4C62" w:rsidP="003F4C62">
      <w:pPr>
        <w:jc w:val="both"/>
        <w:rPr>
          <w:rFonts w:ascii="Garamond" w:hAnsi="Garamond"/>
        </w:rPr>
      </w:pPr>
    </w:p>
    <w:p w14:paraId="4F612320" w14:textId="77777777" w:rsidR="003F4C62" w:rsidRPr="00246E54" w:rsidRDefault="003F4C62" w:rsidP="003F4C62">
      <w:pPr>
        <w:ind w:left="720"/>
        <w:jc w:val="both"/>
        <w:rPr>
          <w:rFonts w:ascii="Garamond" w:hAnsi="Garamond"/>
        </w:rPr>
      </w:pPr>
    </w:p>
    <w:p w14:paraId="5C8D744A" w14:textId="77777777" w:rsidR="003F4C62" w:rsidRDefault="003F4C62" w:rsidP="003F4C62">
      <w:pPr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II – </w:t>
      </w:r>
      <w:r w:rsidRPr="005773AC">
        <w:rPr>
          <w:rFonts w:ascii="Garamond" w:hAnsi="Garamond"/>
          <w:b/>
          <w:bCs/>
        </w:rPr>
        <w:t xml:space="preserve">ANÁLISE FINANCEIRA, ORÇAMENTÁRIA </w:t>
      </w:r>
    </w:p>
    <w:p w14:paraId="1E121B74" w14:textId="77777777" w:rsidR="003F4C62" w:rsidRPr="003F4C62" w:rsidRDefault="003F4C62" w:rsidP="00B5688A">
      <w:pPr>
        <w:jc w:val="both"/>
        <w:rPr>
          <w:rFonts w:ascii="Garamond" w:hAnsi="Garamond"/>
        </w:rPr>
      </w:pPr>
      <w:r w:rsidRPr="003F4C62">
        <w:rPr>
          <w:rFonts w:ascii="Garamond" w:hAnsi="Garamond"/>
        </w:rPr>
        <w:t>A análise desta Comissão se atém ao impacto da Emenda Modificativa nº 004/2026 sobre as finanças e o orçamento do Município de Guarabira.</w:t>
      </w:r>
    </w:p>
    <w:p w14:paraId="37B3E418" w14:textId="77777777" w:rsidR="003F4C62" w:rsidRPr="003F4C62" w:rsidRDefault="003F4C62" w:rsidP="00B5688A">
      <w:pPr>
        <w:jc w:val="both"/>
        <w:rPr>
          <w:rFonts w:ascii="Garamond" w:hAnsi="Garamond"/>
        </w:rPr>
      </w:pPr>
      <w:r w:rsidRPr="003F4C62">
        <w:rPr>
          <w:rFonts w:ascii="Garamond" w:hAnsi="Garamond"/>
        </w:rPr>
        <w:t xml:space="preserve">O texto original da Medida Provisória estabelecia uma fonte de receita para o Tesouro Municipal, correspondente a 38% do valor do IFA, a ser utilizada para custeio geral. A emenda, ao redirecionar a totalidade dos recursos para os servidores, promove uma </w:t>
      </w:r>
      <w:r w:rsidRPr="003F4C62">
        <w:rPr>
          <w:rFonts w:ascii="Garamond" w:hAnsi="Garamond"/>
          <w:b/>
          <w:bCs/>
        </w:rPr>
        <w:t>renúncia de receita</w:t>
      </w:r>
      <w:r w:rsidRPr="003F4C62">
        <w:rPr>
          <w:rFonts w:ascii="Garamond" w:hAnsi="Garamond"/>
        </w:rPr>
        <w:t xml:space="preserve"> para o Município, sem, contudo, apresentar qualquer medida de compensação financeira.</w:t>
      </w:r>
    </w:p>
    <w:p w14:paraId="0B4233FB" w14:textId="77777777" w:rsidR="003F4C62" w:rsidRDefault="003F4C62" w:rsidP="00B5688A">
      <w:pPr>
        <w:jc w:val="both"/>
        <w:rPr>
          <w:rFonts w:ascii="Garamond" w:hAnsi="Garamond"/>
        </w:rPr>
      </w:pPr>
      <w:r w:rsidRPr="003F4C62">
        <w:rPr>
          <w:rFonts w:ascii="Garamond" w:hAnsi="Garamond"/>
        </w:rPr>
        <w:t xml:space="preserve">Essa renúncia de receita gera um impacto direto e negativo no orçamento, pois o montante que deixará de ser arrecadado para o custeio geral terá que ser coberto por outras fontes, pressionando as demais dotações orçamentárias e configurando, na prática, um </w:t>
      </w:r>
      <w:r w:rsidRPr="003F4C62">
        <w:rPr>
          <w:rFonts w:ascii="Garamond" w:hAnsi="Garamond"/>
          <w:b/>
          <w:bCs/>
        </w:rPr>
        <w:t>aumento de despesa líquida</w:t>
      </w:r>
      <w:r w:rsidRPr="003F4C62">
        <w:rPr>
          <w:rFonts w:ascii="Garamond" w:hAnsi="Garamond"/>
        </w:rPr>
        <w:t>.</w:t>
      </w:r>
    </w:p>
    <w:p w14:paraId="559E6709" w14:textId="77777777" w:rsidR="003F4C62" w:rsidRPr="003F4C62" w:rsidRDefault="003F4C62" w:rsidP="00B5688A">
      <w:pPr>
        <w:jc w:val="both"/>
        <w:rPr>
          <w:rFonts w:ascii="Garamond" w:hAnsi="Garamond"/>
        </w:rPr>
      </w:pPr>
      <w:r w:rsidRPr="003F4C62">
        <w:rPr>
          <w:rFonts w:ascii="Garamond" w:hAnsi="Garamond"/>
        </w:rPr>
        <w:t>Dessa forma, do ponto de vista financeiro e orçamentário, a emenda se mostra inadequada e prejudicial ao equilíbrio das contas públicas.</w:t>
      </w:r>
    </w:p>
    <w:p w14:paraId="1B7A51D7" w14:textId="77777777" w:rsidR="003F4C62" w:rsidRPr="003F4C62" w:rsidRDefault="003F4C62" w:rsidP="003F4C62">
      <w:pPr>
        <w:rPr>
          <w:rFonts w:ascii="Garamond" w:hAnsi="Garamond"/>
        </w:rPr>
      </w:pPr>
    </w:p>
    <w:p w14:paraId="1FBCFD1A" w14:textId="77777777" w:rsidR="003F4C62" w:rsidRDefault="003F4C62" w:rsidP="003F4C62">
      <w:pPr>
        <w:rPr>
          <w:rFonts w:ascii="Garamond" w:hAnsi="Garamond"/>
          <w:b/>
          <w:bCs/>
        </w:rPr>
      </w:pPr>
    </w:p>
    <w:p w14:paraId="5B0B0F7F" w14:textId="70E2112A" w:rsidR="003F4C62" w:rsidRPr="00246E54" w:rsidRDefault="007E4964" w:rsidP="003F4C62">
      <w:pPr>
        <w:rPr>
          <w:rFonts w:ascii="Garamond" w:hAnsi="Garamond"/>
          <w:b/>
          <w:bCs/>
        </w:rPr>
      </w:pPr>
      <w:r w:rsidRPr="005773AC">
        <w:rPr>
          <w:rFonts w:ascii="Garamond" w:hAnsi="Garamond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656810B" wp14:editId="2BB95D30">
            <wp:simplePos x="0" y="0"/>
            <wp:positionH relativeFrom="page">
              <wp:align>left</wp:align>
            </wp:positionH>
            <wp:positionV relativeFrom="paragraph">
              <wp:posOffset>-899160</wp:posOffset>
            </wp:positionV>
            <wp:extent cx="7559675" cy="10687050"/>
            <wp:effectExtent l="0" t="0" r="3175" b="0"/>
            <wp:wrapNone/>
            <wp:docPr id="211760849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4C62" w:rsidRPr="00246E54">
        <w:rPr>
          <w:rFonts w:ascii="Garamond" w:hAnsi="Garamond"/>
          <w:b/>
          <w:bCs/>
        </w:rPr>
        <w:t xml:space="preserve">III – </w:t>
      </w:r>
      <w:r w:rsidR="003F4C62">
        <w:rPr>
          <w:rFonts w:ascii="Garamond" w:hAnsi="Garamond"/>
          <w:b/>
          <w:bCs/>
        </w:rPr>
        <w:t>CONCLUSÃO</w:t>
      </w:r>
    </w:p>
    <w:p w14:paraId="525E50DB" w14:textId="66B43566" w:rsidR="003F4C62" w:rsidRPr="005773AC" w:rsidRDefault="003F4C62" w:rsidP="003F4C62">
      <w:pPr>
        <w:jc w:val="both"/>
        <w:rPr>
          <w:rFonts w:ascii="Garamond" w:hAnsi="Garamond"/>
          <w:b/>
          <w:bCs/>
        </w:rPr>
      </w:pPr>
      <w:r w:rsidRPr="00246E54">
        <w:rPr>
          <w:rFonts w:ascii="Garamond" w:hAnsi="Garamond"/>
        </w:rPr>
        <w:t xml:space="preserve">Diante do exposto, </w:t>
      </w:r>
      <w:r>
        <w:rPr>
          <w:rFonts w:ascii="Garamond" w:hAnsi="Garamond"/>
        </w:rPr>
        <w:t>a Comissão</w:t>
      </w:r>
      <w:r w:rsidRPr="00246E54">
        <w:rPr>
          <w:rFonts w:ascii="Garamond" w:hAnsi="Garamond"/>
        </w:rPr>
        <w:t xml:space="preserve"> opina pela </w:t>
      </w:r>
      <w:r w:rsidRPr="005773AC">
        <w:rPr>
          <w:rFonts w:ascii="Garamond" w:hAnsi="Garamond"/>
          <w:b/>
          <w:bCs/>
        </w:rPr>
        <w:t xml:space="preserve">INADEQUAÇÃO FINANCEIRA E ORÇAMENTÁRIA e pela REJEIÇÃO </w:t>
      </w:r>
      <w:r w:rsidRPr="003F4C62">
        <w:rPr>
          <w:rFonts w:ascii="Garamond" w:hAnsi="Garamond"/>
          <w:b/>
          <w:bCs/>
        </w:rPr>
        <w:t>da Emenda Modificativa nº 004/2026 à Medida Provisória nº 77/2026, por promover renúncia de receita e aumento de despesa líquida sem a correspondente indicação da fonte de custeio e da estimativa de impacto orçamentário</w:t>
      </w:r>
      <w:r w:rsidRPr="004E5370">
        <w:rPr>
          <w:rFonts w:ascii="Garamond" w:hAnsi="Garamond"/>
        </w:rPr>
        <w:t>.</w:t>
      </w:r>
    </w:p>
    <w:p w14:paraId="0750B39C" w14:textId="77777777" w:rsidR="003F4C62" w:rsidRPr="00246E54" w:rsidRDefault="003F4C62" w:rsidP="003F4C62">
      <w:pPr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Sala das Sessões, </w:t>
      </w:r>
      <w:r>
        <w:rPr>
          <w:rFonts w:ascii="Garamond" w:hAnsi="Garamond"/>
        </w:rPr>
        <w:t xml:space="preserve">17 </w:t>
      </w:r>
      <w:r w:rsidRPr="00246E54">
        <w:rPr>
          <w:rFonts w:ascii="Garamond" w:hAnsi="Garamond"/>
        </w:rPr>
        <w:t xml:space="preserve">de </w:t>
      </w:r>
      <w:r>
        <w:rPr>
          <w:rFonts w:ascii="Garamond" w:hAnsi="Garamond"/>
        </w:rPr>
        <w:t>março</w:t>
      </w:r>
      <w:r w:rsidRPr="00246E54">
        <w:rPr>
          <w:rFonts w:ascii="Garamond" w:hAnsi="Garamond"/>
        </w:rPr>
        <w:t xml:space="preserve"> de 202</w:t>
      </w:r>
      <w:r>
        <w:rPr>
          <w:rFonts w:ascii="Garamond" w:hAnsi="Garamond"/>
        </w:rPr>
        <w:t>6</w:t>
      </w:r>
      <w:r w:rsidRPr="00246E54">
        <w:rPr>
          <w:rFonts w:ascii="Garamond" w:hAnsi="Garamond"/>
        </w:rPr>
        <w:t>.</w:t>
      </w:r>
    </w:p>
    <w:p w14:paraId="3E07172D" w14:textId="77777777" w:rsidR="003F4C62" w:rsidRPr="00246E54" w:rsidRDefault="003F4C62" w:rsidP="003F4C62">
      <w:pPr>
        <w:pStyle w:val="SemEspaamento"/>
        <w:jc w:val="center"/>
        <w:rPr>
          <w:rFonts w:ascii="Garamond" w:hAnsi="Garamond"/>
        </w:rPr>
      </w:pPr>
    </w:p>
    <w:p w14:paraId="3110F955" w14:textId="77777777" w:rsidR="003F4C62" w:rsidRPr="00246E54" w:rsidRDefault="003F4C62" w:rsidP="003F4C62">
      <w:pPr>
        <w:pStyle w:val="SemEspaamento"/>
        <w:jc w:val="center"/>
        <w:rPr>
          <w:rFonts w:ascii="Garamond" w:hAnsi="Garamond"/>
        </w:rPr>
      </w:pPr>
    </w:p>
    <w:p w14:paraId="7339FF80" w14:textId="77777777" w:rsidR="003F4C62" w:rsidRPr="00246E54" w:rsidRDefault="003F4C62" w:rsidP="003F4C62">
      <w:pPr>
        <w:pStyle w:val="SemEspaamento"/>
        <w:jc w:val="center"/>
        <w:rPr>
          <w:rFonts w:ascii="Garamond" w:hAnsi="Garamond"/>
        </w:rPr>
      </w:pPr>
    </w:p>
    <w:p w14:paraId="130BD899" w14:textId="77777777" w:rsidR="003F4C62" w:rsidRPr="00246E54" w:rsidRDefault="003F4C62" w:rsidP="003F4C62">
      <w:pPr>
        <w:pStyle w:val="SemEspaamento"/>
        <w:jc w:val="center"/>
        <w:rPr>
          <w:rFonts w:ascii="Garamond" w:hAnsi="Garamond"/>
        </w:rPr>
      </w:pPr>
    </w:p>
    <w:p w14:paraId="0D06E54A" w14:textId="77777777" w:rsidR="00B258B8" w:rsidRPr="00784462" w:rsidRDefault="00B258B8" w:rsidP="003F4C62">
      <w:pPr>
        <w:pStyle w:val="SemEspaamento"/>
        <w:jc w:val="center"/>
        <w:rPr>
          <w:rFonts w:ascii="Garamond" w:hAnsi="Garamond"/>
        </w:rPr>
      </w:pPr>
      <w:r w:rsidRPr="00784462">
        <w:rPr>
          <w:rFonts w:ascii="Garamond" w:hAnsi="Garamond"/>
        </w:rPr>
        <w:t>Jussara Maria Cunha dos Santos de Macena</w:t>
      </w:r>
    </w:p>
    <w:p w14:paraId="1E8B0504" w14:textId="5D6BD63E" w:rsidR="003F4C62" w:rsidRPr="00246E54" w:rsidRDefault="003F4C62" w:rsidP="003F4C62">
      <w:pPr>
        <w:pStyle w:val="SemEspaamento"/>
        <w:jc w:val="center"/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Presidente </w:t>
      </w:r>
    </w:p>
    <w:p w14:paraId="564C30A9" w14:textId="77777777" w:rsidR="003F4C62" w:rsidRDefault="003F4C62" w:rsidP="003F4C62">
      <w:pPr>
        <w:pStyle w:val="SemEspaamento"/>
        <w:rPr>
          <w:rFonts w:ascii="Garamond" w:hAnsi="Garamond"/>
        </w:rPr>
      </w:pPr>
    </w:p>
    <w:p w14:paraId="7BE94B04" w14:textId="77777777" w:rsidR="00784462" w:rsidRDefault="00784462" w:rsidP="003F4C62">
      <w:pPr>
        <w:pStyle w:val="SemEspaamento"/>
        <w:rPr>
          <w:rFonts w:ascii="Garamond" w:hAnsi="Garamond"/>
        </w:rPr>
      </w:pPr>
    </w:p>
    <w:p w14:paraId="709F2808" w14:textId="77777777" w:rsidR="00784462" w:rsidRPr="00246E54" w:rsidRDefault="00784462" w:rsidP="003F4C62">
      <w:pPr>
        <w:pStyle w:val="SemEspaamento"/>
        <w:rPr>
          <w:rFonts w:ascii="Garamond" w:hAnsi="Garamond"/>
        </w:rPr>
      </w:pPr>
    </w:p>
    <w:p w14:paraId="43F3A4CD" w14:textId="77777777" w:rsidR="003F4C62" w:rsidRPr="00246E54" w:rsidRDefault="003F4C62" w:rsidP="003F4C62">
      <w:pPr>
        <w:pStyle w:val="SemEspaamento"/>
        <w:rPr>
          <w:rFonts w:ascii="Garamond" w:hAnsi="Garamond"/>
        </w:rPr>
      </w:pPr>
    </w:p>
    <w:p w14:paraId="75062B67" w14:textId="692AAAE1" w:rsidR="003F4C62" w:rsidRPr="00246E54" w:rsidRDefault="00C17FE3" w:rsidP="003F4C62">
      <w:pPr>
        <w:pStyle w:val="SemEspaamento"/>
        <w:rPr>
          <w:rFonts w:ascii="Garamond" w:hAnsi="Garamond"/>
        </w:rPr>
      </w:pPr>
      <w:r w:rsidRPr="00C17FE3">
        <w:rPr>
          <w:rFonts w:ascii="Garamond" w:hAnsi="Garamond"/>
        </w:rPr>
        <w:t xml:space="preserve">Luize </w:t>
      </w:r>
      <w:proofErr w:type="spellStart"/>
      <w:r w:rsidRPr="00C17FE3">
        <w:rPr>
          <w:rFonts w:ascii="Garamond" w:hAnsi="Garamond"/>
        </w:rPr>
        <w:t>Lamarte</w:t>
      </w:r>
      <w:proofErr w:type="spellEnd"/>
      <w:r w:rsidRPr="00C17FE3">
        <w:rPr>
          <w:rFonts w:ascii="Garamond" w:hAnsi="Garamond"/>
        </w:rPr>
        <w:t xml:space="preserve"> Ferreira de Lima</w:t>
      </w:r>
      <w:r w:rsidR="003F4C62" w:rsidRPr="00246E54">
        <w:rPr>
          <w:rFonts w:ascii="Garamond" w:hAnsi="Garamond"/>
        </w:rPr>
        <w:t xml:space="preserve">                       </w:t>
      </w:r>
      <w:r>
        <w:rPr>
          <w:rFonts w:ascii="Garamond" w:hAnsi="Garamond"/>
        </w:rPr>
        <w:t xml:space="preserve">      </w:t>
      </w:r>
      <w:r w:rsidR="003F4C62" w:rsidRPr="00246E54">
        <w:rPr>
          <w:rFonts w:ascii="Garamond" w:hAnsi="Garamond"/>
        </w:rPr>
        <w:t xml:space="preserve">     </w:t>
      </w:r>
      <w:r w:rsidR="00784462">
        <w:rPr>
          <w:rFonts w:ascii="Garamond" w:hAnsi="Garamond"/>
        </w:rPr>
        <w:t xml:space="preserve"> </w:t>
      </w:r>
      <w:proofErr w:type="spellStart"/>
      <w:r w:rsidR="00784462" w:rsidRPr="00784462">
        <w:rPr>
          <w:rFonts w:ascii="Garamond" w:hAnsi="Garamond"/>
        </w:rPr>
        <w:t>Josineide</w:t>
      </w:r>
      <w:proofErr w:type="spellEnd"/>
      <w:r w:rsidR="00784462" w:rsidRPr="00784462">
        <w:rPr>
          <w:rFonts w:ascii="Garamond" w:hAnsi="Garamond"/>
        </w:rPr>
        <w:t xml:space="preserve"> Nicolau de Farias Teotônio</w:t>
      </w:r>
    </w:p>
    <w:p w14:paraId="08BC13F2" w14:textId="3A95874E" w:rsidR="003F4C62" w:rsidRPr="00246E54" w:rsidRDefault="003F4C62" w:rsidP="003F4C62">
      <w:pPr>
        <w:pStyle w:val="SemEspaamento"/>
      </w:pPr>
      <w:r w:rsidRPr="00246E54">
        <w:rPr>
          <w:rFonts w:ascii="Garamond" w:hAnsi="Garamond"/>
          <w:b/>
          <w:bCs/>
        </w:rPr>
        <w:t xml:space="preserve">   </w:t>
      </w:r>
      <w:r w:rsidR="00C17FE3">
        <w:rPr>
          <w:rFonts w:ascii="Garamond" w:hAnsi="Garamond"/>
          <w:b/>
          <w:bCs/>
        </w:rPr>
        <w:t xml:space="preserve">      </w:t>
      </w:r>
      <w:r w:rsidR="00784462">
        <w:rPr>
          <w:rFonts w:ascii="Garamond" w:hAnsi="Garamond"/>
          <w:b/>
          <w:bCs/>
        </w:rPr>
        <w:t xml:space="preserve"> </w:t>
      </w:r>
      <w:r w:rsidRPr="00246E54">
        <w:rPr>
          <w:rFonts w:ascii="Garamond" w:hAnsi="Garamond"/>
          <w:b/>
          <w:bCs/>
        </w:rPr>
        <w:t xml:space="preserve">Membro </w:t>
      </w:r>
      <w:r w:rsidR="008A3FCB">
        <w:rPr>
          <w:rFonts w:ascii="Garamond" w:hAnsi="Garamond"/>
          <w:b/>
          <w:bCs/>
        </w:rPr>
        <w:t>CFO</w:t>
      </w:r>
      <w:r w:rsidRPr="00246E54">
        <w:rPr>
          <w:rFonts w:ascii="Garamond" w:hAnsi="Garamond"/>
          <w:b/>
          <w:bCs/>
        </w:rPr>
        <w:t xml:space="preserve">                                                                    Membro </w:t>
      </w:r>
      <w:r w:rsidR="008A3FCB">
        <w:rPr>
          <w:rFonts w:ascii="Garamond" w:hAnsi="Garamond"/>
          <w:b/>
          <w:bCs/>
        </w:rPr>
        <w:t>CFO</w:t>
      </w:r>
    </w:p>
    <w:p w14:paraId="3255D267" w14:textId="77777777" w:rsidR="003F4C62" w:rsidRDefault="003F4C62" w:rsidP="003F4C62"/>
    <w:p w14:paraId="217588B2" w14:textId="77777777" w:rsidR="003F4C62" w:rsidRPr="00B2500A" w:rsidRDefault="003F4C62" w:rsidP="003F4C62">
      <w:pPr>
        <w:rPr>
          <w:sz w:val="26"/>
          <w:szCs w:val="26"/>
        </w:rPr>
      </w:pPr>
    </w:p>
    <w:p w14:paraId="3509CEE2" w14:textId="77777777" w:rsidR="003F4C62" w:rsidRPr="00B2500A" w:rsidRDefault="003F4C62" w:rsidP="003F4C62">
      <w:pPr>
        <w:rPr>
          <w:sz w:val="26"/>
          <w:szCs w:val="26"/>
        </w:rPr>
      </w:pPr>
    </w:p>
    <w:p w14:paraId="6E48AC5F" w14:textId="77777777" w:rsidR="00F019F8" w:rsidRDefault="00F019F8"/>
    <w:sectPr w:rsidR="00F019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C62"/>
    <w:rsid w:val="002F0058"/>
    <w:rsid w:val="003F4C62"/>
    <w:rsid w:val="005427DB"/>
    <w:rsid w:val="006F2354"/>
    <w:rsid w:val="00784462"/>
    <w:rsid w:val="007E4964"/>
    <w:rsid w:val="008A3FCB"/>
    <w:rsid w:val="009F7758"/>
    <w:rsid w:val="00B258B8"/>
    <w:rsid w:val="00B5688A"/>
    <w:rsid w:val="00C17FE3"/>
    <w:rsid w:val="00F019F8"/>
    <w:rsid w:val="00FD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6C169"/>
  <w15:chartTrackingRefBased/>
  <w15:docId w15:val="{D7257883-E74B-4521-9699-7C0587527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C62"/>
  </w:style>
  <w:style w:type="paragraph" w:styleId="Ttulo1">
    <w:name w:val="heading 1"/>
    <w:basedOn w:val="Normal"/>
    <w:next w:val="Normal"/>
    <w:link w:val="Ttulo1Char"/>
    <w:uiPriority w:val="9"/>
    <w:qFormat/>
    <w:rsid w:val="003F4C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F4C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F4C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4C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F4C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F4C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F4C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F4C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F4C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F4C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F4C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F4C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4C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F4C6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F4C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F4C6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F4C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F4C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F4C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F4C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F4C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F4C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F4C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F4C6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F4C6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F4C6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F4C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F4C6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F4C62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3F4C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406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Weslley Saraiva</dc:creator>
  <cp:keywords/>
  <dc:description/>
  <cp:lastModifiedBy>Weslley Saraiva</cp:lastModifiedBy>
  <cp:revision>7</cp:revision>
  <dcterms:created xsi:type="dcterms:W3CDTF">2026-03-17T03:29:00Z</dcterms:created>
  <dcterms:modified xsi:type="dcterms:W3CDTF">2026-03-17T14:00:00Z</dcterms:modified>
</cp:coreProperties>
</file>