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2D316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AA75C2">
        <w:rPr>
          <w:rFonts w:ascii="Times New Roman" w:hAnsi="Times New Roman" w:cs="Times New Roman"/>
          <w:b/>
          <w:bCs/>
          <w:sz w:val="24"/>
          <w:szCs w:val="24"/>
        </w:rPr>
        <w:t>1.680, DE 12 DE NOVEMBRO DE 2021.</w:t>
      </w:r>
      <w:bookmarkStart w:id="0" w:name="_GoBack"/>
      <w:bookmarkEnd w:id="0"/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D3166" w:rsidRPr="003F4035" w:rsidRDefault="002D3166" w:rsidP="002D3166">
      <w:pPr>
        <w:spacing w:before="120" w:line="360" w:lineRule="auto"/>
        <w:ind w:left="3969" w:right="-1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3F4035">
        <w:rPr>
          <w:rFonts w:ascii="Times New Roman" w:hAnsi="Times New Roman"/>
          <w:b/>
          <w:bCs/>
          <w:i/>
          <w:sz w:val="24"/>
          <w:szCs w:val="24"/>
        </w:rPr>
        <w:t>“Dispõe sobre adequação e compatibilização dos anexos de metas fiscais constantes da Lei de Dir</w:t>
      </w:r>
      <w:r>
        <w:rPr>
          <w:rFonts w:ascii="Times New Roman" w:hAnsi="Times New Roman"/>
          <w:b/>
          <w:bCs/>
          <w:i/>
          <w:sz w:val="24"/>
          <w:szCs w:val="24"/>
        </w:rPr>
        <w:t>etrizes Orçamentárias para 2022 (Lei n</w:t>
      </w:r>
      <w:r w:rsidRPr="003F4035">
        <w:rPr>
          <w:rFonts w:ascii="Times New Roman" w:hAnsi="Times New Roman"/>
          <w:b/>
          <w:bCs/>
          <w:i/>
          <w:sz w:val="24"/>
          <w:szCs w:val="24"/>
        </w:rPr>
        <w:t>º 1.665, de 23 de junho de 2021</w:t>
      </w:r>
      <w:r>
        <w:rPr>
          <w:rFonts w:ascii="Times New Roman" w:hAnsi="Times New Roman"/>
          <w:b/>
          <w:bCs/>
          <w:i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</w:t>
      </w:r>
      <w:r w:rsidRPr="003F4035">
        <w:rPr>
          <w:rFonts w:ascii="Times New Roman" w:hAnsi="Times New Roman"/>
          <w:b/>
          <w:bCs/>
          <w:i/>
          <w:sz w:val="24"/>
          <w:szCs w:val="24"/>
        </w:rPr>
        <w:t>e dá outras providências.”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2D3166" w:rsidRPr="002D3166" w:rsidRDefault="002D3166" w:rsidP="002D3166">
      <w:pPr>
        <w:spacing w:before="120" w:line="360" w:lineRule="auto"/>
        <w:ind w:right="-1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2D3166">
        <w:rPr>
          <w:rFonts w:ascii="Times New Roman" w:hAnsi="Times New Roman" w:cs="Times New Roman"/>
          <w:b/>
          <w:sz w:val="24"/>
          <w:szCs w:val="24"/>
        </w:rPr>
        <w:t>Art.1º.</w:t>
      </w:r>
      <w:r w:rsidRPr="002D3166">
        <w:rPr>
          <w:rFonts w:ascii="Times New Roman" w:hAnsi="Times New Roman" w:cs="Times New Roman"/>
          <w:sz w:val="24"/>
          <w:szCs w:val="24"/>
        </w:rPr>
        <w:t xml:space="preserve">  Em atendimento ao disposto no art. 4º, §§ 1º, 2º e 3º da Lei Complementar nº. 101/2000, para fins de compatibilização, ficam válidos para a Lei de Diretrizes Orçamentárias de </w:t>
      </w:r>
      <w:r w:rsidRPr="002D3166">
        <w:rPr>
          <w:rFonts w:ascii="Times New Roman" w:hAnsi="Times New Roman" w:cs="Times New Roman"/>
          <w:color w:val="000000"/>
          <w:sz w:val="24"/>
          <w:szCs w:val="24"/>
        </w:rPr>
        <w:t>nº 1.665/2021,</w:t>
      </w:r>
      <w:r w:rsidRPr="002D3166">
        <w:rPr>
          <w:rFonts w:ascii="Times New Roman" w:hAnsi="Times New Roman" w:cs="Times New Roman"/>
          <w:sz w:val="24"/>
          <w:szCs w:val="24"/>
        </w:rPr>
        <w:t xml:space="preserve"> os anexos a essa Lei, os demais permanecem conforme a Lei 0000/2021.</w:t>
      </w:r>
    </w:p>
    <w:p w:rsidR="002D3166" w:rsidRPr="002D3166" w:rsidRDefault="002D3166" w:rsidP="002D3166">
      <w:pPr>
        <w:spacing w:before="120" w:line="360" w:lineRule="auto"/>
        <w:ind w:right="-1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2D3166">
        <w:rPr>
          <w:rFonts w:ascii="Times New Roman" w:hAnsi="Times New Roman" w:cs="Times New Roman"/>
          <w:b/>
          <w:sz w:val="24"/>
          <w:szCs w:val="24"/>
        </w:rPr>
        <w:t>Art. 2º -</w:t>
      </w:r>
      <w:r w:rsidRPr="002D3166">
        <w:rPr>
          <w:rFonts w:ascii="Times New Roman" w:hAnsi="Times New Roman" w:cs="Times New Roman"/>
          <w:sz w:val="24"/>
          <w:szCs w:val="24"/>
        </w:rPr>
        <w:t xml:space="preserve"> A fim de compatibilizar a execução da despesa fixada com a efetiva realização da receita estimada, o Poder Executivo Municipal poderá fazer a decomposição do Orçamento de Despesa, enquadrando-os por Unidades Orçamentárias.</w:t>
      </w:r>
    </w:p>
    <w:p w:rsidR="002D3166" w:rsidRPr="002D3166" w:rsidRDefault="002D3166" w:rsidP="002D3166">
      <w:pPr>
        <w:spacing w:before="120" w:line="360" w:lineRule="auto"/>
        <w:ind w:right="-1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2D31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Parágrafo único -</w:t>
      </w:r>
      <w:r w:rsidRPr="002D3166">
        <w:rPr>
          <w:rFonts w:ascii="Times New Roman" w:hAnsi="Times New Roman" w:cs="Times New Roman"/>
          <w:sz w:val="24"/>
          <w:szCs w:val="24"/>
        </w:rPr>
        <w:t xml:space="preserve"> Em cumprimento ao que dispõe este artigo, o Executivo Municipal poderá alterar as dotações orçamentárias dos órgãos e ou Unidades em até 100% (cem por cento) do total orçado, para maior ou para menor, mediante transposição, remanejamento ou transferências de valores entre elementos, categoria de programação e/ou Unidades Orçamentária e por fonte de recursos.</w:t>
      </w:r>
    </w:p>
    <w:p w:rsidR="002D3166" w:rsidRPr="002D3166" w:rsidRDefault="002D3166" w:rsidP="002D3166">
      <w:pPr>
        <w:pStyle w:val="NormalWeb"/>
        <w:spacing w:before="120" w:beforeAutospacing="0" w:after="0" w:afterAutospacing="0" w:line="360" w:lineRule="auto"/>
        <w:ind w:right="-1" w:firstLine="1701"/>
        <w:jc w:val="both"/>
      </w:pPr>
      <w:r w:rsidRPr="002D3166">
        <w:rPr>
          <w:b/>
        </w:rPr>
        <w:t>Art. 3º</w:t>
      </w:r>
      <w:r w:rsidRPr="002D3166">
        <w:t>. Esta Lei entra em vigor na data de sua publicação.</w:t>
      </w:r>
    </w:p>
    <w:p w:rsidR="002D3166" w:rsidRDefault="002D3166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Default="00AA75C2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12 de novembro de 2021.</w:t>
      </w: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0BD" w:rsidRPr="00980DE8" w:rsidRDefault="00AA75C2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D52B1" w:rsidRPr="000433F9" w:rsidRDefault="00AA75C2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C89" w:rsidRDefault="00861C89" w:rsidP="00481D1B">
      <w:pPr>
        <w:spacing w:after="0" w:line="240" w:lineRule="auto"/>
      </w:pPr>
      <w:r>
        <w:separator/>
      </w:r>
    </w:p>
  </w:endnote>
  <w:endnote w:type="continuationSeparator" w:id="0">
    <w:p w:rsidR="00861C89" w:rsidRDefault="00861C8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C89" w:rsidRDefault="00861C89" w:rsidP="00481D1B">
      <w:pPr>
        <w:spacing w:after="0" w:line="240" w:lineRule="auto"/>
      </w:pPr>
      <w:r>
        <w:separator/>
      </w:r>
    </w:p>
  </w:footnote>
  <w:footnote w:type="continuationSeparator" w:id="0">
    <w:p w:rsidR="00861C89" w:rsidRDefault="00861C8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40B26"/>
    <w:rsid w:val="000433F9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C308E"/>
    <w:rsid w:val="001D3C53"/>
    <w:rsid w:val="001E130D"/>
    <w:rsid w:val="001E180C"/>
    <w:rsid w:val="002209D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7D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71720"/>
    <w:rsid w:val="00686CF9"/>
    <w:rsid w:val="0069070E"/>
    <w:rsid w:val="0069570B"/>
    <w:rsid w:val="006A2F2B"/>
    <w:rsid w:val="006B2AEA"/>
    <w:rsid w:val="006B2BA7"/>
    <w:rsid w:val="006C0324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2B2A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61C89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A75C2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E6B0A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7D12D-5642-400A-9236-35071D9BF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2021-11-09T11:54:00Z</cp:lastPrinted>
  <dcterms:created xsi:type="dcterms:W3CDTF">2021-11-16T12:03:00Z</dcterms:created>
  <dcterms:modified xsi:type="dcterms:W3CDTF">2021-11-16T12:03:00Z</dcterms:modified>
</cp:coreProperties>
</file>