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A961EA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708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A961EA" w:rsidRPr="00A961EA">
        <w:rPr>
          <w:sz w:val="24"/>
          <w:szCs w:val="24"/>
        </w:rPr>
        <w:t xml:space="preserve">determinar ao setor competente que sejam realizados o fornecimento e a distribuição de coleiras antiparasitárias do tipo </w:t>
      </w:r>
      <w:proofErr w:type="spellStart"/>
      <w:r w:rsidR="00A961EA" w:rsidRPr="00A961EA">
        <w:rPr>
          <w:sz w:val="24"/>
          <w:szCs w:val="24"/>
        </w:rPr>
        <w:t>Scalibor</w:t>
      </w:r>
      <w:proofErr w:type="spellEnd"/>
      <w:r w:rsidR="00A961EA" w:rsidRPr="00A961EA">
        <w:rPr>
          <w:sz w:val="24"/>
          <w:szCs w:val="24"/>
        </w:rPr>
        <w:t xml:space="preserve"> para proteção dos animais do município, principalmente os pets e os animais em situação de rua, como medida de prevenção e combate contra a leishmaniose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1C2D93" w:rsidRDefault="00A961EA" w:rsidP="00485C3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A961EA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se justifica pela importância da prevenção e do combate ao (mosquito transmissor da leishmaniose, doença que representa risco tanto para animais quanto para a saúde pública. Muitos cães em situação de rua ficam expostos diariamente a ambientes propícios à proliferação do mosquito-palha, aumentando os riscos de transmissão da doença. A utilização das coleiras antiparasitárias contribui significativamente para a prevenção, controle e redução dos casos de leishmaniose, além de demonstrar cuidado e compromisso do poder público com a causa animal e a saúde coletiva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CE4EAF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proofErr w:type="spellStart"/>
      <w:r w:rsidRPr="00CE4EAF">
        <w:rPr>
          <w:rFonts w:asciiTheme="minorHAnsi" w:eastAsia="Arial" w:hAnsiTheme="minorHAnsi" w:cstheme="minorHAnsi"/>
          <w:b/>
          <w:sz w:val="24"/>
          <w:szCs w:val="24"/>
        </w:rPr>
        <w:t>Warlen</w:t>
      </w:r>
      <w:proofErr w:type="spellEnd"/>
      <w:r w:rsidRPr="00CE4EAF">
        <w:rPr>
          <w:rFonts w:asciiTheme="minorHAnsi" w:eastAsia="Arial" w:hAnsiTheme="minorHAnsi" w:cstheme="minorHAnsi"/>
          <w:b/>
          <w:sz w:val="24"/>
          <w:szCs w:val="24"/>
        </w:rPr>
        <w:t xml:space="preserve"> Alves da Silva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8"/>
  </w:num>
  <w:num w:numId="4">
    <w:abstractNumId w:val="4"/>
  </w:num>
  <w:num w:numId="5">
    <w:abstractNumId w:val="14"/>
  </w:num>
  <w:num w:numId="6">
    <w:abstractNumId w:val="5"/>
  </w:num>
  <w:num w:numId="7">
    <w:abstractNumId w:val="15"/>
  </w:num>
  <w:num w:numId="8">
    <w:abstractNumId w:val="9"/>
  </w:num>
  <w:num w:numId="9">
    <w:abstractNumId w:val="12"/>
  </w:num>
  <w:num w:numId="10">
    <w:abstractNumId w:val="0"/>
  </w:num>
  <w:num w:numId="11">
    <w:abstractNumId w:val="11"/>
  </w:num>
  <w:num w:numId="12">
    <w:abstractNumId w:val="3"/>
  </w:num>
  <w:num w:numId="13">
    <w:abstractNumId w:val="6"/>
  </w:num>
  <w:num w:numId="14">
    <w:abstractNumId w:val="10"/>
  </w:num>
  <w:num w:numId="15">
    <w:abstractNumId w:val="13"/>
  </w:num>
  <w:num w:numId="16">
    <w:abstractNumId w:val="2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85C34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6099D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68C9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61EA"/>
    <w:rsid w:val="00A978CB"/>
    <w:rsid w:val="00AA48A5"/>
    <w:rsid w:val="00AB2917"/>
    <w:rsid w:val="00AC109D"/>
    <w:rsid w:val="00AC7B31"/>
    <w:rsid w:val="00AD1F21"/>
    <w:rsid w:val="00AD6062"/>
    <w:rsid w:val="00B00073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E4EAF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A6E8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7"/>
    <o:shapelayout v:ext="edit">
      <o:idmap v:ext="edit" data="1"/>
    </o:shapelayout>
  </w:shapeDefaults>
  <w:decimalSymbol w:val=","/>
  <w:listSeparator w:val=";"/>
  <w14:docId w14:val="4D38E510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14C2EF-31C4-46CD-9431-258607D7C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179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120</cp:revision>
  <cp:lastPrinted>2023-06-23T16:25:00Z</cp:lastPrinted>
  <dcterms:created xsi:type="dcterms:W3CDTF">2026-02-09T16:25:00Z</dcterms:created>
  <dcterms:modified xsi:type="dcterms:W3CDTF">2026-05-12T12:55:00Z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