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954" w:rsidRPr="00C47D42" w:rsidRDefault="00D00954" w:rsidP="00D00954">
      <w:pPr>
        <w:jc w:val="right"/>
        <w:rPr>
          <w:rFonts w:ascii="Book Antiqua" w:hAnsi="Book Antiqua"/>
        </w:rPr>
      </w:pPr>
      <w:r w:rsidRPr="00C47D42">
        <w:rPr>
          <w:rFonts w:ascii="Book Antiqua" w:hAnsi="Book Antiqua"/>
        </w:rPr>
        <w:t>Araripina,</w:t>
      </w:r>
      <w:r>
        <w:rPr>
          <w:rFonts w:ascii="Book Antiqua" w:hAnsi="Book Antiqua"/>
        </w:rPr>
        <w:t xml:space="preserve"> 03</w:t>
      </w:r>
      <w:r w:rsidRPr="00C47D42">
        <w:rPr>
          <w:rFonts w:ascii="Book Antiqua" w:hAnsi="Book Antiqua"/>
        </w:rPr>
        <w:t xml:space="preserve"> de</w:t>
      </w:r>
      <w:r>
        <w:rPr>
          <w:rFonts w:ascii="Book Antiqua" w:hAnsi="Book Antiqua"/>
        </w:rPr>
        <w:t xml:space="preserve"> março </w:t>
      </w:r>
      <w:r w:rsidRPr="00C47D42">
        <w:rPr>
          <w:rFonts w:ascii="Book Antiqua" w:hAnsi="Book Antiqua"/>
        </w:rPr>
        <w:t>de 2026.</w:t>
      </w:r>
    </w:p>
    <w:p w:rsidR="00D00954" w:rsidRPr="00C47D42" w:rsidRDefault="00D00954" w:rsidP="00D00954">
      <w:pPr>
        <w:jc w:val="both"/>
        <w:rPr>
          <w:rFonts w:ascii="Book Antiqua" w:hAnsi="Book Antiqua"/>
        </w:rPr>
      </w:pPr>
    </w:p>
    <w:p w:rsidR="00D00954" w:rsidRPr="00C47D42" w:rsidRDefault="00D00954" w:rsidP="00D00954">
      <w:pPr>
        <w:rPr>
          <w:rFonts w:ascii="Book Antiqua" w:hAnsi="Book Antiqua"/>
          <w:b/>
          <w:bCs/>
        </w:rPr>
      </w:pPr>
      <w:r w:rsidRPr="00C47D42">
        <w:rPr>
          <w:rFonts w:ascii="Book Antiqua" w:hAnsi="Book Antiqua"/>
          <w:b/>
          <w:bCs/>
        </w:rPr>
        <w:t xml:space="preserve">PARECER Nº </w:t>
      </w:r>
      <w:r>
        <w:rPr>
          <w:rFonts w:ascii="Book Antiqua" w:hAnsi="Book Antiqua"/>
          <w:b/>
          <w:bCs/>
        </w:rPr>
        <w:t>14</w:t>
      </w:r>
      <w:r w:rsidRPr="00C47D42">
        <w:rPr>
          <w:rFonts w:ascii="Book Antiqua" w:hAnsi="Book Antiqua"/>
          <w:b/>
          <w:bCs/>
        </w:rPr>
        <w:t>/2026 COMISSÃO DE ORÇAMENTO E FINANÇAS</w:t>
      </w:r>
    </w:p>
    <w:p w:rsidR="00D00954" w:rsidRPr="00C47D42" w:rsidRDefault="00D00954" w:rsidP="00D00954">
      <w:pPr>
        <w:jc w:val="both"/>
        <w:rPr>
          <w:rFonts w:ascii="Book Antiqua" w:hAnsi="Book Antiqua"/>
        </w:rPr>
      </w:pPr>
    </w:p>
    <w:p w:rsidR="00D00954" w:rsidRPr="00C47D42" w:rsidRDefault="00D00954" w:rsidP="00D00954">
      <w:pPr>
        <w:ind w:left="4678" w:hanging="4820"/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</w:r>
      <w:r w:rsidRPr="00C47D42">
        <w:rPr>
          <w:rFonts w:ascii="Book Antiqua" w:hAnsi="Book Antiqua"/>
        </w:rPr>
        <w:t xml:space="preserve">REF. PRESTAÇÃO DE CONTAS DO PREFEITO MUNICIPAL DE ARARIPINA, EXERCÍCIO FINANCEIRO DE 2023. PROCESSO TCE-PE Nº </w:t>
      </w:r>
      <w:bookmarkStart w:id="0" w:name="_Hlk223434405"/>
      <w:r w:rsidRPr="00C47D42">
        <w:rPr>
          <w:rFonts w:ascii="Book Antiqua" w:hAnsi="Book Antiqua"/>
        </w:rPr>
        <w:t>24100495-0</w:t>
      </w:r>
      <w:bookmarkEnd w:id="0"/>
      <w:r w:rsidRPr="00C47D42">
        <w:rPr>
          <w:rFonts w:ascii="Book Antiqua" w:hAnsi="Book Antiqua"/>
        </w:rPr>
        <w:t>.</w:t>
      </w:r>
    </w:p>
    <w:p w:rsidR="00D00954" w:rsidRPr="00C47D42" w:rsidRDefault="00D00954" w:rsidP="00D00954">
      <w:pPr>
        <w:spacing w:line="360" w:lineRule="auto"/>
        <w:jc w:val="both"/>
        <w:rPr>
          <w:rFonts w:ascii="Book Antiqua" w:hAnsi="Book Antiqua"/>
        </w:rPr>
      </w:pPr>
    </w:p>
    <w:p w:rsidR="00D00954" w:rsidRPr="00C47D42" w:rsidRDefault="00D00954" w:rsidP="00D00954">
      <w:p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</w:r>
      <w:r w:rsidRPr="00C47D42">
        <w:rPr>
          <w:rFonts w:ascii="Book Antiqua" w:hAnsi="Book Antiqua"/>
        </w:rPr>
        <w:t xml:space="preserve">A Comissão de Orçamento e Finanças da Câmara Municipal de Araripina, no uso de suas atribuições regimentais e legais, especialmente os arts. 31 da Constituição Federal e </w:t>
      </w:r>
      <w:r>
        <w:rPr>
          <w:rFonts w:ascii="Book Antiqua" w:hAnsi="Book Antiqua"/>
        </w:rPr>
        <w:t xml:space="preserve">art. </w:t>
      </w:r>
      <w:r w:rsidRPr="00C47D42">
        <w:rPr>
          <w:rFonts w:ascii="Book Antiqua" w:hAnsi="Book Antiqua"/>
        </w:rPr>
        <w:t>183 e seguintes do Regimento Interno da Câmara Municipal de Araripina, vem apresentar parecer sobre o processo de prestação de contas do Poder Executivo Municipal, referente ao exercício financeiro de 2023, de responsabilidade do Sr. José Raimundo Pimentel do Espírito Santo.</w:t>
      </w:r>
    </w:p>
    <w:p w:rsidR="00D00954" w:rsidRPr="00C47D42" w:rsidRDefault="00D00954" w:rsidP="00D00954">
      <w:p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</w:r>
      <w:r w:rsidRPr="00C47D42">
        <w:rPr>
          <w:rFonts w:ascii="Book Antiqua" w:hAnsi="Book Antiqua"/>
        </w:rPr>
        <w:t>O Tribunal de Contas do Estado de Pernambuco (TCE-PE), após análise técnica, emitiu parecer prévio recomendando a aprovação com ressalvas das contas do Prefeito, reconhecendo o cumprimento dos limites constitucionais e legais aplicáveis ao exercício, bem como apontando a existência de falhas formais na gestão, consideradas passíveis de recomendação para exercícios futuros</w:t>
      </w:r>
      <w:r>
        <w:rPr>
          <w:rFonts w:ascii="Book Antiqua" w:hAnsi="Book Antiqua"/>
        </w:rPr>
        <w:t>.</w:t>
      </w:r>
    </w:p>
    <w:p w:rsidR="00D00954" w:rsidRPr="00C47D42" w:rsidRDefault="00D00954" w:rsidP="00D00954">
      <w:p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  <w:t>Ressalta esta comissão, que no tocante as falhas formais na aplicação dos limites constitucionais e legais, especialmente em relação aos repasses para a educação, o gestor à época, não atendeu ao princípio da eficiência, estabelecido no art. 37 da Constituição Federal, inclusive a mesma falha foi um dos fundamentos para a rejeição, por este poder Legislativo, das contas do exercício financeiro de 2022, julgadas em 21 de novembro de 2024.</w:t>
      </w:r>
    </w:p>
    <w:p w:rsidR="00D00954" w:rsidRDefault="00D00954" w:rsidP="00D00954">
      <w:p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</w:r>
    </w:p>
    <w:p w:rsidR="00D00954" w:rsidRPr="00C47D42" w:rsidRDefault="00D00954" w:rsidP="00D00954">
      <w:p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</w:r>
      <w:r w:rsidRPr="00C47D42">
        <w:rPr>
          <w:rFonts w:ascii="Book Antiqua" w:hAnsi="Book Antiqua"/>
        </w:rPr>
        <w:t xml:space="preserve">As falhas apontadas concentraram-se, principalmente, em aspectos relacionados ao aprimoramento do planejamento orçamentário, controle contábil por fontes de recursos, programação financeira, gestão do FUNDEB, </w:t>
      </w:r>
      <w:r w:rsidRPr="00C47D42">
        <w:rPr>
          <w:rFonts w:ascii="Book Antiqua" w:hAnsi="Book Antiqua"/>
        </w:rPr>
        <w:lastRenderedPageBreak/>
        <w:t>acompanhamento do R</w:t>
      </w:r>
      <w:r>
        <w:rPr>
          <w:rFonts w:ascii="Book Antiqua" w:hAnsi="Book Antiqua"/>
        </w:rPr>
        <w:t>egime Próprio de Previdência Social - RPPS</w:t>
      </w:r>
      <w:r w:rsidRPr="00C47D42">
        <w:rPr>
          <w:rFonts w:ascii="Book Antiqua" w:hAnsi="Book Antiqua"/>
        </w:rPr>
        <w:t xml:space="preserve"> e transparência fiscal, nos termos da Lei de Responsabilidade Fiscal e legislação correlata</w:t>
      </w:r>
      <w:r>
        <w:rPr>
          <w:rFonts w:ascii="Book Antiqua" w:hAnsi="Book Antiqua"/>
        </w:rPr>
        <w:t>.</w:t>
      </w:r>
    </w:p>
    <w:p w:rsidR="00D00954" w:rsidRDefault="00D00954" w:rsidP="00D00954">
      <w:p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</w:r>
      <w:r w:rsidRPr="00C47D42">
        <w:rPr>
          <w:rFonts w:ascii="Book Antiqua" w:hAnsi="Book Antiqua"/>
        </w:rPr>
        <w:t>Ressalte-se que não houve apontamento de descumprimento dos percentuais mínimos constitucionais em saúde e educação, nem extrapolação dos limites legais de despesa com pessoal, tampouco identificação de danos ao erário ou irregularidade insanável.</w:t>
      </w:r>
    </w:p>
    <w:p w:rsidR="00D00954" w:rsidRPr="00C47D42" w:rsidRDefault="00D00954" w:rsidP="00D00954">
      <w:p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</w:r>
      <w:r w:rsidRPr="00B77897">
        <w:rPr>
          <w:rFonts w:ascii="Book Antiqua" w:hAnsi="Book Antiqua"/>
        </w:rPr>
        <w:t>Registre-se, ainda, que o ex-Prefeito foi regularmente notificado por meio do Diário Oficial dos Municípios, na data de 0</w:t>
      </w:r>
      <w:r>
        <w:rPr>
          <w:rFonts w:ascii="Book Antiqua" w:hAnsi="Book Antiqua"/>
        </w:rPr>
        <w:t>5</w:t>
      </w:r>
      <w:r w:rsidRPr="00B77897">
        <w:rPr>
          <w:rFonts w:ascii="Book Antiqua" w:hAnsi="Book Antiqua"/>
        </w:rPr>
        <w:t xml:space="preserve"> de fevereiro</w:t>
      </w:r>
      <w:r>
        <w:rPr>
          <w:rFonts w:ascii="Book Antiqua" w:hAnsi="Book Antiqua"/>
        </w:rPr>
        <w:t xml:space="preserve"> de 2026</w:t>
      </w:r>
      <w:r w:rsidRPr="00B77897">
        <w:rPr>
          <w:rFonts w:ascii="Book Antiqua" w:hAnsi="Book Antiqua"/>
        </w:rPr>
        <w:t>, para que</w:t>
      </w:r>
      <w:r>
        <w:rPr>
          <w:rFonts w:ascii="Book Antiqua" w:hAnsi="Book Antiqua"/>
        </w:rPr>
        <w:t>, querendo,</w:t>
      </w:r>
      <w:r w:rsidRPr="00B77897">
        <w:rPr>
          <w:rFonts w:ascii="Book Antiqua" w:hAnsi="Book Antiqua"/>
        </w:rPr>
        <w:t xml:space="preserve"> apresentasse defesa escrita e/ou manifestasse interesse na realização de defesa oral perante esta Casa Legislativa, tendo, contudo, deixado transcorrer o prazo </w:t>
      </w:r>
      <w:r w:rsidRPr="00170D8E">
        <w:rPr>
          <w:rFonts w:ascii="Book Antiqua" w:hAnsi="Book Antiqua"/>
          <w:i/>
          <w:iCs/>
        </w:rPr>
        <w:t>in albis</w:t>
      </w:r>
      <w:r w:rsidRPr="00B77897">
        <w:rPr>
          <w:rFonts w:ascii="Book Antiqua" w:hAnsi="Book Antiqua"/>
        </w:rPr>
        <w:t>, sem qualquer manifestação.</w:t>
      </w:r>
    </w:p>
    <w:p w:rsidR="00D00954" w:rsidRPr="00C47D42" w:rsidRDefault="00D00954" w:rsidP="00D00954">
      <w:p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</w:r>
      <w:r w:rsidRPr="00C47D42">
        <w:rPr>
          <w:rFonts w:ascii="Book Antiqua" w:hAnsi="Book Antiqua"/>
        </w:rPr>
        <w:t>Esta Comissão, em reunião para discussão do parecer do TCE, bem como após análise da documentação constante dos autos, observou que as impropriedades consignadas possuem natureza predominantemente formal e de aperfeiçoamento da gestão, não configurando infração grave capaz de ensejar a rejeição das contas.</w:t>
      </w:r>
    </w:p>
    <w:p w:rsidR="00D00954" w:rsidRPr="00C47D42" w:rsidRDefault="00D00954" w:rsidP="00D00954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</w:r>
      <w:r w:rsidRPr="00C47D42">
        <w:rPr>
          <w:rFonts w:ascii="Book Antiqua" w:hAnsi="Book Antiqua"/>
        </w:rPr>
        <w:t>De tudo, por tudo, considerando:</w:t>
      </w:r>
    </w:p>
    <w:p w:rsidR="00D00954" w:rsidRPr="00170D8E" w:rsidRDefault="00D00954" w:rsidP="00D00954">
      <w:pPr>
        <w:pStyle w:val="PargrafodaLista"/>
        <w:numPr>
          <w:ilvl w:val="0"/>
          <w:numId w:val="1"/>
        </w:numPr>
        <w:spacing w:line="276" w:lineRule="auto"/>
        <w:jc w:val="both"/>
        <w:rPr>
          <w:rFonts w:ascii="Book Antiqua" w:hAnsi="Book Antiqua"/>
          <w:sz w:val="24"/>
          <w:szCs w:val="24"/>
        </w:rPr>
      </w:pPr>
      <w:r w:rsidRPr="00170D8E">
        <w:rPr>
          <w:rFonts w:ascii="Book Antiqua" w:hAnsi="Book Antiqua"/>
          <w:sz w:val="24"/>
          <w:szCs w:val="24"/>
        </w:rPr>
        <w:t>Cumprimento dos limites constitucionais e legais pelo gestor no exercício de 2023;</w:t>
      </w:r>
    </w:p>
    <w:p w:rsidR="00D00954" w:rsidRPr="00170D8E" w:rsidRDefault="00D00954" w:rsidP="00D00954">
      <w:pPr>
        <w:pStyle w:val="PargrafodaLista"/>
        <w:numPr>
          <w:ilvl w:val="0"/>
          <w:numId w:val="1"/>
        </w:numPr>
        <w:spacing w:line="276" w:lineRule="auto"/>
        <w:jc w:val="both"/>
        <w:rPr>
          <w:rFonts w:ascii="Book Antiqua" w:hAnsi="Book Antiqua"/>
          <w:sz w:val="24"/>
          <w:szCs w:val="24"/>
        </w:rPr>
      </w:pPr>
      <w:r w:rsidRPr="00170D8E">
        <w:rPr>
          <w:rFonts w:ascii="Book Antiqua" w:hAnsi="Book Antiqua"/>
          <w:sz w:val="24"/>
          <w:szCs w:val="24"/>
        </w:rPr>
        <w:t>Ausência de danos ao erário ou irregularidade insanável;</w:t>
      </w:r>
    </w:p>
    <w:p w:rsidR="00D00954" w:rsidRDefault="00D00954" w:rsidP="00D00954">
      <w:pPr>
        <w:pStyle w:val="PargrafodaLista"/>
        <w:numPr>
          <w:ilvl w:val="0"/>
          <w:numId w:val="1"/>
        </w:numPr>
        <w:spacing w:line="276" w:lineRule="auto"/>
        <w:jc w:val="both"/>
        <w:rPr>
          <w:rFonts w:ascii="Book Antiqua" w:hAnsi="Book Antiqua"/>
          <w:sz w:val="24"/>
          <w:szCs w:val="24"/>
        </w:rPr>
      </w:pPr>
      <w:r w:rsidRPr="00170D8E">
        <w:rPr>
          <w:rFonts w:ascii="Book Antiqua" w:hAnsi="Book Antiqua"/>
          <w:sz w:val="24"/>
          <w:szCs w:val="24"/>
        </w:rPr>
        <w:t>Caráter formal das falhas apontadas, passíveis de correção mediante recomendações;</w:t>
      </w:r>
    </w:p>
    <w:p w:rsidR="00D00954" w:rsidRPr="00170D8E" w:rsidRDefault="00D00954" w:rsidP="00D00954">
      <w:pPr>
        <w:pStyle w:val="PargrafodaLista"/>
        <w:spacing w:line="276" w:lineRule="auto"/>
        <w:ind w:left="835"/>
        <w:jc w:val="both"/>
        <w:rPr>
          <w:rFonts w:ascii="Book Antiqua" w:hAnsi="Book Antiqua"/>
          <w:sz w:val="24"/>
          <w:szCs w:val="24"/>
        </w:rPr>
      </w:pPr>
    </w:p>
    <w:p w:rsidR="00D00954" w:rsidRPr="00170D8E" w:rsidRDefault="00D00954" w:rsidP="00D00954">
      <w:pPr>
        <w:pStyle w:val="PargrafodaLista"/>
        <w:numPr>
          <w:ilvl w:val="0"/>
          <w:numId w:val="1"/>
        </w:numPr>
        <w:spacing w:line="276" w:lineRule="auto"/>
        <w:jc w:val="both"/>
        <w:rPr>
          <w:rFonts w:ascii="Book Antiqua" w:hAnsi="Book Antiqua"/>
          <w:sz w:val="24"/>
          <w:szCs w:val="24"/>
        </w:rPr>
      </w:pPr>
      <w:r w:rsidRPr="00170D8E">
        <w:rPr>
          <w:rFonts w:ascii="Book Antiqua" w:hAnsi="Book Antiqua"/>
          <w:sz w:val="24"/>
          <w:szCs w:val="24"/>
        </w:rPr>
        <w:t xml:space="preserve"> Caráter opinativo do parecer prévio, nos termos dos §§ 1º e 2º do art. 31 da Constituição Federal, competindo à Câmara Municipal o julgamento definitivo das contas;</w:t>
      </w:r>
    </w:p>
    <w:p w:rsidR="00D00954" w:rsidRDefault="00D00954" w:rsidP="00D00954">
      <w:pPr>
        <w:jc w:val="both"/>
        <w:rPr>
          <w:rFonts w:ascii="Book Antiqua" w:hAnsi="Book Antiqua"/>
        </w:rPr>
      </w:pPr>
    </w:p>
    <w:p w:rsidR="00D00954" w:rsidRDefault="00D00954" w:rsidP="00D00954">
      <w:p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</w:r>
      <w:r w:rsidRPr="00C47D42">
        <w:rPr>
          <w:rFonts w:ascii="Book Antiqua" w:hAnsi="Book Antiqua"/>
        </w:rPr>
        <w:t>Diante d</w:t>
      </w:r>
      <w:r>
        <w:rPr>
          <w:rFonts w:ascii="Book Antiqua" w:hAnsi="Book Antiqua"/>
        </w:rPr>
        <w:t xml:space="preserve">e todo </w:t>
      </w:r>
      <w:r w:rsidRPr="00C47D42">
        <w:rPr>
          <w:rFonts w:ascii="Book Antiqua" w:hAnsi="Book Antiqua"/>
        </w:rPr>
        <w:t>o exposto, esta Comissão vota pela aprovação com ressalvas das contas do Sr. José Raimundo Pimentel do Espírito Santo, relativas ao exercício financeiro de 2023, nos termos regimentais.</w:t>
      </w:r>
    </w:p>
    <w:p w:rsidR="008802C3" w:rsidRDefault="008802C3" w:rsidP="00D00954">
      <w:pPr>
        <w:spacing w:line="360" w:lineRule="auto"/>
        <w:jc w:val="both"/>
        <w:rPr>
          <w:rFonts w:ascii="Book Antiqua" w:hAnsi="Book Antiqua"/>
        </w:rPr>
      </w:pPr>
    </w:p>
    <w:p w:rsidR="008802C3" w:rsidRPr="00C47D42" w:rsidRDefault="008802C3" w:rsidP="00D00954">
      <w:pPr>
        <w:spacing w:line="360" w:lineRule="auto"/>
        <w:jc w:val="both"/>
        <w:rPr>
          <w:rFonts w:ascii="Book Antiqua" w:hAnsi="Book Antiqua"/>
        </w:rPr>
      </w:pPr>
    </w:p>
    <w:p w:rsidR="00D00954" w:rsidRPr="00C47D42" w:rsidRDefault="00D00954" w:rsidP="00D00954">
      <w:pPr>
        <w:jc w:val="both"/>
        <w:rPr>
          <w:rFonts w:ascii="Book Antiqua" w:hAnsi="Book Antiqua"/>
        </w:rPr>
      </w:pPr>
    </w:p>
    <w:p w:rsidR="00D00954" w:rsidRPr="00FC761D" w:rsidRDefault="00D00954" w:rsidP="00D00954">
      <w:pPr>
        <w:jc w:val="center"/>
        <w:rPr>
          <w:rFonts w:ascii="Book Antiqua" w:hAnsi="Book Antiqua"/>
          <w:b/>
          <w:bCs/>
        </w:rPr>
      </w:pPr>
      <w:r w:rsidRPr="00FC761D">
        <w:rPr>
          <w:rFonts w:ascii="Book Antiqua" w:hAnsi="Book Antiqua"/>
          <w:b/>
          <w:bCs/>
        </w:rPr>
        <w:t>COMISSÃO DE ORÇAMENTO E FINANÇAS</w:t>
      </w:r>
    </w:p>
    <w:p w:rsidR="00D00954" w:rsidRDefault="00D00954" w:rsidP="00D00954">
      <w:pPr>
        <w:jc w:val="center"/>
        <w:rPr>
          <w:rFonts w:ascii="Book Antiqua" w:hAnsi="Book Antiqua"/>
        </w:rPr>
      </w:pPr>
    </w:p>
    <w:p w:rsidR="00D00954" w:rsidRPr="00FC761D" w:rsidRDefault="00D00954" w:rsidP="00D00954">
      <w:pPr>
        <w:jc w:val="center"/>
        <w:rPr>
          <w:rFonts w:ascii="Book Antiqua" w:hAnsi="Book Antiqua"/>
        </w:rPr>
      </w:pPr>
      <w:r w:rsidRPr="00FC761D">
        <w:rPr>
          <w:rFonts w:ascii="Book Antiqua" w:hAnsi="Book Antiqua"/>
        </w:rPr>
        <w:t>__________________________</w:t>
      </w:r>
    </w:p>
    <w:p w:rsidR="00D00954" w:rsidRPr="00FC761D" w:rsidRDefault="00D00954" w:rsidP="00D00954">
      <w:pPr>
        <w:jc w:val="center"/>
        <w:rPr>
          <w:rFonts w:ascii="Book Antiqua" w:hAnsi="Book Antiqua"/>
        </w:rPr>
      </w:pPr>
      <w:r>
        <w:rPr>
          <w:rFonts w:ascii="Book Antiqua" w:hAnsi="Book Antiqua"/>
        </w:rPr>
        <w:t>João Silvanio Rodrigues Silva</w:t>
      </w:r>
    </w:p>
    <w:p w:rsidR="00D00954" w:rsidRPr="00FC761D" w:rsidRDefault="00D00954" w:rsidP="00D00954">
      <w:pPr>
        <w:jc w:val="center"/>
        <w:rPr>
          <w:rFonts w:ascii="Book Antiqua" w:hAnsi="Book Antiqua"/>
        </w:rPr>
      </w:pPr>
      <w:r w:rsidRPr="00FC761D">
        <w:rPr>
          <w:rFonts w:ascii="Book Antiqua" w:hAnsi="Book Antiqua"/>
        </w:rPr>
        <w:t>Relator</w:t>
      </w:r>
    </w:p>
    <w:p w:rsidR="00D00954" w:rsidRPr="00FC761D" w:rsidRDefault="00D00954" w:rsidP="00D00954">
      <w:pPr>
        <w:jc w:val="center"/>
        <w:rPr>
          <w:rFonts w:ascii="Book Antiqua" w:hAnsi="Book Antiqua"/>
        </w:rPr>
      </w:pPr>
      <w:r w:rsidRPr="00FC761D">
        <w:rPr>
          <w:rFonts w:ascii="Book Antiqua" w:hAnsi="Book Antiqua"/>
        </w:rPr>
        <w:t>Comissão de Orçamento e Finanças</w:t>
      </w:r>
    </w:p>
    <w:p w:rsidR="00D00954" w:rsidRPr="00FC761D" w:rsidRDefault="00D00954" w:rsidP="00D00954">
      <w:pPr>
        <w:jc w:val="center"/>
        <w:rPr>
          <w:rFonts w:ascii="Book Antiqua" w:hAnsi="Book Antiqua"/>
        </w:rPr>
      </w:pPr>
    </w:p>
    <w:p w:rsidR="00D00954" w:rsidRPr="00FC761D" w:rsidRDefault="00D00954" w:rsidP="00D00954">
      <w:pPr>
        <w:jc w:val="center"/>
        <w:rPr>
          <w:rFonts w:ascii="Book Antiqua" w:hAnsi="Book Antiqua"/>
        </w:rPr>
      </w:pPr>
      <w:r w:rsidRPr="00FC761D">
        <w:rPr>
          <w:rFonts w:ascii="Book Antiqua" w:hAnsi="Book Antiqua"/>
        </w:rPr>
        <w:t>DE ACORDO:</w:t>
      </w:r>
    </w:p>
    <w:p w:rsidR="00D00954" w:rsidRPr="00FC761D" w:rsidRDefault="00D00954" w:rsidP="00D00954">
      <w:pPr>
        <w:jc w:val="center"/>
        <w:rPr>
          <w:rFonts w:ascii="Book Antiqua" w:hAnsi="Book Antiqua"/>
        </w:rPr>
      </w:pPr>
      <w:r w:rsidRPr="00FC761D">
        <w:rPr>
          <w:rFonts w:ascii="Book Antiqua" w:hAnsi="Book Antiqua"/>
        </w:rPr>
        <w:t>___________________________</w:t>
      </w:r>
    </w:p>
    <w:p w:rsidR="00D00954" w:rsidRPr="00FC761D" w:rsidRDefault="00D00954" w:rsidP="00D00954">
      <w:pPr>
        <w:jc w:val="center"/>
        <w:rPr>
          <w:rFonts w:ascii="Book Antiqua" w:hAnsi="Book Antiqua"/>
        </w:rPr>
      </w:pPr>
      <w:r w:rsidRPr="00FC761D">
        <w:rPr>
          <w:rFonts w:ascii="Book Antiqua" w:hAnsi="Book Antiqua"/>
        </w:rPr>
        <w:t>Kalígia Carvalho Moreira Matheus</w:t>
      </w:r>
    </w:p>
    <w:p w:rsidR="00D00954" w:rsidRPr="00FC761D" w:rsidRDefault="00D00954" w:rsidP="00D00954">
      <w:pPr>
        <w:jc w:val="center"/>
        <w:rPr>
          <w:rFonts w:ascii="Book Antiqua" w:hAnsi="Book Antiqua"/>
        </w:rPr>
      </w:pPr>
      <w:r w:rsidRPr="00FC761D">
        <w:rPr>
          <w:rFonts w:ascii="Book Antiqua" w:hAnsi="Book Antiqua"/>
        </w:rPr>
        <w:t>Presidente</w:t>
      </w:r>
    </w:p>
    <w:p w:rsidR="00D00954" w:rsidRPr="00FC761D" w:rsidRDefault="00D00954" w:rsidP="00D00954">
      <w:pPr>
        <w:jc w:val="center"/>
        <w:rPr>
          <w:rFonts w:ascii="Book Antiqua" w:hAnsi="Book Antiqua"/>
        </w:rPr>
      </w:pPr>
      <w:r w:rsidRPr="00FC761D">
        <w:rPr>
          <w:rFonts w:ascii="Book Antiqua" w:hAnsi="Book Antiqua"/>
        </w:rPr>
        <w:t>Comissão de Orçamento e Finanças</w:t>
      </w:r>
    </w:p>
    <w:p w:rsidR="00D00954" w:rsidRPr="00FC761D" w:rsidRDefault="00D00954" w:rsidP="00D00954">
      <w:pPr>
        <w:jc w:val="center"/>
        <w:rPr>
          <w:rFonts w:ascii="Book Antiqua" w:hAnsi="Book Antiqua"/>
        </w:rPr>
      </w:pPr>
    </w:p>
    <w:p w:rsidR="00D00954" w:rsidRPr="00FC761D" w:rsidRDefault="00D00954" w:rsidP="00D00954">
      <w:pPr>
        <w:jc w:val="center"/>
        <w:rPr>
          <w:rFonts w:ascii="Book Antiqua" w:hAnsi="Book Antiqua"/>
        </w:rPr>
      </w:pPr>
      <w:r w:rsidRPr="00FC761D">
        <w:rPr>
          <w:rFonts w:ascii="Book Antiqua" w:hAnsi="Book Antiqua"/>
        </w:rPr>
        <w:t>___________________________</w:t>
      </w:r>
    </w:p>
    <w:p w:rsidR="00525FB5" w:rsidRDefault="00D00954" w:rsidP="00D00954">
      <w:pPr>
        <w:rPr>
          <w:rFonts w:cstheme="minorHAnsi"/>
        </w:rPr>
      </w:pPr>
      <w:r w:rsidRPr="00FC761D">
        <w:rPr>
          <w:rFonts w:ascii="Book Antiqua" w:hAnsi="Book Antiqua"/>
        </w:rPr>
        <w:t>Francisco Ronnielson Rodrigues de Oliveira</w:t>
      </w:r>
    </w:p>
    <w:p w:rsidR="0099226D" w:rsidRDefault="0099226D" w:rsidP="007D1335">
      <w:pPr>
        <w:jc w:val="center"/>
      </w:pPr>
    </w:p>
    <w:sectPr w:rsidR="0099226D" w:rsidSect="007D1335">
      <w:headerReference w:type="even" r:id="rId7"/>
      <w:headerReference w:type="default" r:id="rId8"/>
      <w:footerReference w:type="default" r:id="rId9"/>
      <w:headerReference w:type="first" r:id="rId10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0C25" w:rsidRDefault="00900C25" w:rsidP="007D1335">
      <w:r>
        <w:separator/>
      </w:r>
    </w:p>
  </w:endnote>
  <w:endnote w:type="continuationSeparator" w:id="0">
    <w:p w:rsidR="00900C25" w:rsidRDefault="00900C25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0C25" w:rsidRDefault="00900C25" w:rsidP="007D1335">
      <w:r>
        <w:separator/>
      </w:r>
    </w:p>
  </w:footnote>
  <w:footnote w:type="continuationSeparator" w:id="0">
    <w:p w:rsidR="00900C25" w:rsidRDefault="00900C25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D433C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D433C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D433C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3F4A86"/>
    <w:multiLevelType w:val="hybridMultilevel"/>
    <w:tmpl w:val="04CEA9A4"/>
    <w:lvl w:ilvl="0" w:tplc="0416000F">
      <w:start w:val="1"/>
      <w:numFmt w:val="decimal"/>
      <w:lvlText w:val="%1."/>
      <w:lvlJc w:val="left"/>
      <w:pPr>
        <w:ind w:left="835" w:hanging="360"/>
      </w:pPr>
    </w:lvl>
    <w:lvl w:ilvl="1" w:tplc="04160019" w:tentative="1">
      <w:start w:val="1"/>
      <w:numFmt w:val="lowerLetter"/>
      <w:lvlText w:val="%2."/>
      <w:lvlJc w:val="left"/>
      <w:pPr>
        <w:ind w:left="1555" w:hanging="360"/>
      </w:pPr>
    </w:lvl>
    <w:lvl w:ilvl="2" w:tplc="0416001B" w:tentative="1">
      <w:start w:val="1"/>
      <w:numFmt w:val="lowerRoman"/>
      <w:lvlText w:val="%3."/>
      <w:lvlJc w:val="right"/>
      <w:pPr>
        <w:ind w:left="2275" w:hanging="180"/>
      </w:pPr>
    </w:lvl>
    <w:lvl w:ilvl="3" w:tplc="0416000F" w:tentative="1">
      <w:start w:val="1"/>
      <w:numFmt w:val="decimal"/>
      <w:lvlText w:val="%4."/>
      <w:lvlJc w:val="left"/>
      <w:pPr>
        <w:ind w:left="2995" w:hanging="360"/>
      </w:pPr>
    </w:lvl>
    <w:lvl w:ilvl="4" w:tplc="04160019" w:tentative="1">
      <w:start w:val="1"/>
      <w:numFmt w:val="lowerLetter"/>
      <w:lvlText w:val="%5."/>
      <w:lvlJc w:val="left"/>
      <w:pPr>
        <w:ind w:left="3715" w:hanging="360"/>
      </w:pPr>
    </w:lvl>
    <w:lvl w:ilvl="5" w:tplc="0416001B" w:tentative="1">
      <w:start w:val="1"/>
      <w:numFmt w:val="lowerRoman"/>
      <w:lvlText w:val="%6."/>
      <w:lvlJc w:val="right"/>
      <w:pPr>
        <w:ind w:left="4435" w:hanging="180"/>
      </w:pPr>
    </w:lvl>
    <w:lvl w:ilvl="6" w:tplc="0416000F" w:tentative="1">
      <w:start w:val="1"/>
      <w:numFmt w:val="decimal"/>
      <w:lvlText w:val="%7."/>
      <w:lvlJc w:val="left"/>
      <w:pPr>
        <w:ind w:left="5155" w:hanging="360"/>
      </w:pPr>
    </w:lvl>
    <w:lvl w:ilvl="7" w:tplc="04160019" w:tentative="1">
      <w:start w:val="1"/>
      <w:numFmt w:val="lowerLetter"/>
      <w:lvlText w:val="%8."/>
      <w:lvlJc w:val="left"/>
      <w:pPr>
        <w:ind w:left="5875" w:hanging="360"/>
      </w:pPr>
    </w:lvl>
    <w:lvl w:ilvl="8" w:tplc="0416001B" w:tentative="1">
      <w:start w:val="1"/>
      <w:numFmt w:val="lowerRoman"/>
      <w:lvlText w:val="%9."/>
      <w:lvlJc w:val="right"/>
      <w:pPr>
        <w:ind w:left="659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229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81BFF"/>
    <w:rsid w:val="003034C4"/>
    <w:rsid w:val="0040655A"/>
    <w:rsid w:val="004475D8"/>
    <w:rsid w:val="0045784C"/>
    <w:rsid w:val="00491FA8"/>
    <w:rsid w:val="004C5233"/>
    <w:rsid w:val="00525FB5"/>
    <w:rsid w:val="005E2F42"/>
    <w:rsid w:val="00661448"/>
    <w:rsid w:val="006864D2"/>
    <w:rsid w:val="006A279A"/>
    <w:rsid w:val="007B437E"/>
    <w:rsid w:val="007D1335"/>
    <w:rsid w:val="008802C3"/>
    <w:rsid w:val="00884DDC"/>
    <w:rsid w:val="00900C25"/>
    <w:rsid w:val="0099226D"/>
    <w:rsid w:val="009B4F8A"/>
    <w:rsid w:val="00AA7A96"/>
    <w:rsid w:val="00AB13BC"/>
    <w:rsid w:val="00AD2ABF"/>
    <w:rsid w:val="00BC47B1"/>
    <w:rsid w:val="00D00954"/>
    <w:rsid w:val="00D433CC"/>
    <w:rsid w:val="00F358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character" w:customStyle="1" w:styleId="SemEspaamentoChar">
    <w:name w:val="Sem Espaçamento Char"/>
    <w:link w:val="SemEspaamento"/>
    <w:uiPriority w:val="1"/>
    <w:locked/>
    <w:rsid w:val="00F358F4"/>
    <w:rPr>
      <w:kern w:val="0"/>
      <w:sz w:val="22"/>
      <w:szCs w:val="22"/>
    </w:rPr>
  </w:style>
  <w:style w:type="paragraph" w:styleId="SemEspaamento">
    <w:name w:val="No Spacing"/>
    <w:link w:val="SemEspaamentoChar"/>
    <w:uiPriority w:val="1"/>
    <w:qFormat/>
    <w:rsid w:val="00F358F4"/>
    <w:rPr>
      <w:kern w:val="0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525FB5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paragraph" w:styleId="PargrafodaLista">
    <w:name w:val="List Paragraph"/>
    <w:basedOn w:val="Normal"/>
    <w:uiPriority w:val="34"/>
    <w:qFormat/>
    <w:rsid w:val="00D00954"/>
    <w:pPr>
      <w:spacing w:after="160" w:line="259" w:lineRule="auto"/>
      <w:ind w:left="720"/>
      <w:contextualSpacing/>
    </w:pPr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21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581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3</cp:revision>
  <cp:lastPrinted>2025-08-28T11:55:00Z</cp:lastPrinted>
  <dcterms:created xsi:type="dcterms:W3CDTF">2026-03-04T15:29:00Z</dcterms:created>
  <dcterms:modified xsi:type="dcterms:W3CDTF">2026-03-04T15:31:00Z</dcterms:modified>
</cp:coreProperties>
</file>