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91DE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718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91DE3" w:rsidRPr="00D91DE3">
        <w:rPr>
          <w:sz w:val="24"/>
          <w:szCs w:val="24"/>
        </w:rPr>
        <w:t>que determine ao setor competente a aquisição de uma máquina de marcação a laser em metais (</w:t>
      </w:r>
      <w:proofErr w:type="spellStart"/>
      <w:r w:rsidR="00D91DE3" w:rsidRPr="00D91DE3">
        <w:rPr>
          <w:sz w:val="24"/>
          <w:szCs w:val="24"/>
        </w:rPr>
        <w:t>Fiber</w:t>
      </w:r>
      <w:proofErr w:type="spellEnd"/>
      <w:r w:rsidR="00D91DE3" w:rsidRPr="00D91DE3">
        <w:rPr>
          <w:sz w:val="24"/>
          <w:szCs w:val="24"/>
        </w:rPr>
        <w:t xml:space="preserve"> Laser), destinada à identificação de animais de rua e animais comunitários do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91DE3" w:rsidRPr="00D91DE3" w:rsidRDefault="00D91DE3" w:rsidP="00D91DE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91DE3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fortalecer as políticas públicas de proteção e bem-estar animal no município, proporcionando maior controle, identificação e acompanhamento dos animais em situação de rua e dos animais comunitários.</w:t>
      </w:r>
    </w:p>
    <w:p w:rsidR="00D91DE3" w:rsidRPr="00D91DE3" w:rsidRDefault="00D91DE3" w:rsidP="00D91DE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91DE3">
        <w:rPr>
          <w:rFonts w:asciiTheme="minorHAnsi" w:eastAsia="Times New Roman" w:hAnsiTheme="minorHAnsi" w:cstheme="minorHAnsi"/>
          <w:sz w:val="24"/>
          <w:szCs w:val="24"/>
          <w:lang w:eastAsia="pt-BR"/>
        </w:rPr>
        <w:t>A utilização de equipamento de marcação a laser em metais (</w:t>
      </w:r>
      <w:proofErr w:type="spellStart"/>
      <w:r w:rsidRPr="00D91DE3">
        <w:rPr>
          <w:rFonts w:asciiTheme="minorHAnsi" w:eastAsia="Times New Roman" w:hAnsiTheme="minorHAnsi" w:cstheme="minorHAnsi"/>
          <w:sz w:val="24"/>
          <w:szCs w:val="24"/>
          <w:lang w:eastAsia="pt-BR"/>
        </w:rPr>
        <w:t>Fiber</w:t>
      </w:r>
      <w:proofErr w:type="spellEnd"/>
      <w:r w:rsidRPr="00D91DE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Laser) permitirá a confecção de plaquetas de identificação duráveis e resistentes, contendo informações essenciais para o monitoramento dos animais cadastrados, facilitando ações de vacinação, castração, acompanhamento veterinário e localização em casos de desaparecimento.</w:t>
      </w:r>
    </w:p>
    <w:p w:rsidR="00D91DE3" w:rsidRPr="00D91DE3" w:rsidRDefault="00D91DE3" w:rsidP="00D91DE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91DE3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medida contribuirá significativamente para o trabalho realizado pelas equipes de proteção animal, protetores independentes e organizações parceiras, promovendo mais segurança, organização e responsabilidade no manejo desses animais.</w:t>
      </w:r>
    </w:p>
    <w:p w:rsidR="001C2D93" w:rsidRDefault="00D91DE3" w:rsidP="00D91DE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91DE3">
        <w:rPr>
          <w:rFonts w:asciiTheme="minorHAnsi" w:eastAsia="Times New Roman" w:hAnsiTheme="minorHAnsi" w:cstheme="minorHAnsi"/>
          <w:sz w:val="24"/>
          <w:szCs w:val="24"/>
          <w:lang w:eastAsia="pt-BR"/>
        </w:rPr>
        <w:t>A identificação adequada também auxilia na conscientização da população acerca da importância da proteção animal e fortalece as ações de saúde pública, reduzindo riscos relacionados ao abandono e à proliferação descontrolada de animais nas vias públicas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65776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5776D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8F131F"/>
    <w:multiLevelType w:val="hybridMultilevel"/>
    <w:tmpl w:val="04E42272"/>
    <w:lvl w:ilvl="0" w:tplc="1590A9F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7839FC"/>
    <w:multiLevelType w:val="hybridMultilevel"/>
    <w:tmpl w:val="528414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6"/>
  </w:num>
  <w:num w:numId="14">
    <w:abstractNumId w:val="11"/>
  </w:num>
  <w:num w:numId="15">
    <w:abstractNumId w:val="15"/>
  </w:num>
  <w:num w:numId="16">
    <w:abstractNumId w:val="2"/>
  </w:num>
  <w:num w:numId="17">
    <w:abstractNumId w:val="7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31C0B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776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91DE3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  <w14:docId w14:val="2D9800C1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B25CB6E-C396-47ED-B3CD-A38A5761B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117</cp:revision>
  <cp:lastPrinted>2023-06-23T16:25:00Z</cp:lastPrinted>
  <dcterms:created xsi:type="dcterms:W3CDTF">2026-02-09T16:25:00Z</dcterms:created>
  <dcterms:modified xsi:type="dcterms:W3CDTF">2026-05-13T12:01:00Z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