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31D45" w14:textId="3638614B" w:rsidR="005161F7" w:rsidRDefault="005161F7" w:rsidP="005161F7">
      <w:pPr>
        <w:spacing w:before="0" w:after="0"/>
        <w:ind w:left="0" w:right="142"/>
        <w:jc w:val="both"/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</w:pPr>
      <w:r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  <w:t>Pauta  Extra 2280</w:t>
      </w:r>
    </w:p>
    <w:p w14:paraId="5F75248F" w14:textId="77777777" w:rsidR="005161F7" w:rsidRPr="001F23D6" w:rsidRDefault="005161F7" w:rsidP="005161F7">
      <w:pPr>
        <w:spacing w:before="0" w:after="0"/>
        <w:ind w:left="0" w:right="142"/>
        <w:jc w:val="both"/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</w:pPr>
    </w:p>
    <w:p w14:paraId="2386C90B" w14:textId="77777777" w:rsidR="005161F7" w:rsidRPr="001F23D6" w:rsidRDefault="005161F7" w:rsidP="005161F7">
      <w:pPr>
        <w:spacing w:before="0" w:after="0"/>
        <w:ind w:left="0" w:right="142"/>
        <w:jc w:val="both"/>
        <w:rPr>
          <w:rFonts w:ascii="Calibri" w:hAnsi="Calibri" w:cs="Calibri"/>
          <w:b/>
          <w:bCs/>
          <w:color w:val="auto"/>
          <w:sz w:val="26"/>
          <w:szCs w:val="26"/>
        </w:rPr>
      </w:pPr>
      <w:r w:rsidRPr="001F23D6">
        <w:rPr>
          <w:rFonts w:ascii="Calibri" w:hAnsi="Calibri" w:cs="Calibri"/>
          <w:b/>
          <w:bCs/>
          <w:color w:val="auto"/>
          <w:sz w:val="26"/>
          <w:szCs w:val="26"/>
        </w:rPr>
        <w:t>Projeto de Lei Nº 005-2024 (Executivo)</w:t>
      </w:r>
    </w:p>
    <w:p w14:paraId="04DB70D5" w14:textId="77777777" w:rsidR="005161F7" w:rsidRDefault="005161F7" w:rsidP="005161F7">
      <w:pPr>
        <w:spacing w:before="0" w:after="0"/>
        <w:ind w:left="0" w:right="142"/>
        <w:jc w:val="both"/>
        <w:rPr>
          <w:rFonts w:ascii="Calibri" w:hAnsi="Calibri" w:cs="Calibri"/>
          <w:color w:val="auto"/>
          <w:sz w:val="26"/>
          <w:szCs w:val="26"/>
        </w:rPr>
      </w:pPr>
      <w:r w:rsidRPr="001F23D6">
        <w:rPr>
          <w:rFonts w:ascii="Calibri" w:hAnsi="Calibri" w:cs="Calibri"/>
          <w:b/>
          <w:bCs/>
          <w:color w:val="auto"/>
          <w:sz w:val="26"/>
          <w:szCs w:val="26"/>
        </w:rPr>
        <w:t>Ementa:</w:t>
      </w:r>
      <w:r w:rsidRPr="001F23D6">
        <w:rPr>
          <w:rFonts w:ascii="Calibri" w:hAnsi="Calibri" w:cs="Calibri"/>
          <w:color w:val="auto"/>
          <w:sz w:val="26"/>
          <w:szCs w:val="26"/>
        </w:rPr>
        <w:t xml:space="preserve"> Institui o Programa Municipal de Recuperação Fiscal - PROMUREFIS/SJI no Município de São João do Ivaí, Estado do Paraná, e dá outras providências.</w:t>
      </w:r>
    </w:p>
    <w:p w14:paraId="718459F1" w14:textId="77777777" w:rsidR="005161F7" w:rsidRPr="001F23D6" w:rsidRDefault="005161F7" w:rsidP="005161F7">
      <w:pPr>
        <w:spacing w:before="0" w:after="0"/>
        <w:ind w:left="0" w:right="142"/>
        <w:jc w:val="both"/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</w:pPr>
    </w:p>
    <w:p w14:paraId="7A7E0E77" w14:textId="77777777" w:rsidR="001377D3" w:rsidRPr="001F23D6" w:rsidRDefault="001377D3" w:rsidP="001377D3">
      <w:pPr>
        <w:spacing w:before="0" w:after="0"/>
        <w:ind w:left="0" w:right="142"/>
        <w:jc w:val="both"/>
        <w:rPr>
          <w:rFonts w:ascii="Calibri" w:hAnsi="Calibri" w:cs="Calibri"/>
          <w:b/>
          <w:bCs/>
          <w:color w:val="auto"/>
          <w:sz w:val="26"/>
          <w:szCs w:val="26"/>
        </w:rPr>
      </w:pPr>
      <w:r w:rsidRPr="001F23D6">
        <w:rPr>
          <w:rFonts w:ascii="Calibri" w:hAnsi="Calibri" w:cs="Calibri"/>
          <w:b/>
          <w:bCs/>
          <w:color w:val="auto"/>
          <w:sz w:val="26"/>
          <w:szCs w:val="26"/>
        </w:rPr>
        <w:t>Projeto de Lei Nº 00</w:t>
      </w:r>
      <w:r>
        <w:rPr>
          <w:rFonts w:ascii="Calibri" w:hAnsi="Calibri" w:cs="Calibri"/>
          <w:b/>
          <w:bCs/>
          <w:color w:val="auto"/>
          <w:sz w:val="26"/>
          <w:szCs w:val="26"/>
        </w:rPr>
        <w:t>7</w:t>
      </w:r>
      <w:r w:rsidRPr="001F23D6">
        <w:rPr>
          <w:rFonts w:ascii="Calibri" w:hAnsi="Calibri" w:cs="Calibri"/>
          <w:b/>
          <w:bCs/>
          <w:color w:val="auto"/>
          <w:sz w:val="26"/>
          <w:szCs w:val="26"/>
        </w:rPr>
        <w:t>-2024 (Executivo)</w:t>
      </w:r>
    </w:p>
    <w:p w14:paraId="50FDF6AC" w14:textId="77777777" w:rsidR="001377D3" w:rsidRDefault="001377D3" w:rsidP="001377D3">
      <w:pPr>
        <w:spacing w:before="0" w:after="0"/>
        <w:ind w:left="0" w:right="142"/>
        <w:jc w:val="both"/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</w:pPr>
      <w:r w:rsidRPr="001F23D6">
        <w:rPr>
          <w:rFonts w:ascii="Calibri" w:hAnsi="Calibri" w:cs="Calibri"/>
          <w:b/>
          <w:bCs/>
          <w:color w:val="auto"/>
          <w:sz w:val="26"/>
          <w:szCs w:val="26"/>
        </w:rPr>
        <w:t>Ementa:</w:t>
      </w:r>
      <w:r w:rsidRPr="001F23D6">
        <w:rPr>
          <w:rFonts w:ascii="Calibri" w:hAnsi="Calibri" w:cs="Calibri"/>
          <w:color w:val="auto"/>
          <w:sz w:val="26"/>
          <w:szCs w:val="26"/>
        </w:rPr>
        <w:t xml:space="preserve"> </w:t>
      </w:r>
      <w:r w:rsidRPr="000403CF">
        <w:rPr>
          <w:rFonts w:ascii="Calibri" w:hAnsi="Calibri" w:cs="Calibri"/>
          <w:color w:val="auto"/>
          <w:sz w:val="26"/>
          <w:szCs w:val="26"/>
          <w:lang w:val="pt-BR" w:eastAsia="pt-BR"/>
        </w:rPr>
        <w:t>Abre Cr</w:t>
      </w:r>
      <w:r w:rsidRPr="001F23D6">
        <w:rPr>
          <w:rFonts w:ascii="Calibri" w:hAnsi="Calibri" w:cs="Calibri"/>
          <w:color w:val="auto"/>
          <w:sz w:val="26"/>
          <w:szCs w:val="26"/>
        </w:rPr>
        <w:t>é</w:t>
      </w:r>
      <w:r w:rsidRPr="000403CF">
        <w:rPr>
          <w:rFonts w:ascii="Calibri" w:hAnsi="Calibri" w:cs="Calibri"/>
          <w:color w:val="auto"/>
          <w:sz w:val="26"/>
          <w:szCs w:val="26"/>
          <w:lang w:val="pt-BR" w:eastAsia="pt-BR"/>
        </w:rPr>
        <w:t>dito Especial e da outras providencias</w:t>
      </w:r>
      <w:r w:rsidRPr="00CC5667"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  <w:t>.</w:t>
      </w:r>
    </w:p>
    <w:p w14:paraId="799739BA" w14:textId="77777777" w:rsidR="005161F7" w:rsidRDefault="005161F7" w:rsidP="005161F7">
      <w:pPr>
        <w:spacing w:before="0" w:after="0"/>
        <w:ind w:left="0" w:right="142"/>
        <w:jc w:val="both"/>
        <w:rPr>
          <w:rFonts w:ascii="Calibri" w:eastAsia="Times New Roman" w:hAnsi="Calibri" w:cs="Calibri"/>
          <w:color w:val="auto"/>
          <w:kern w:val="0"/>
          <w:sz w:val="26"/>
          <w:szCs w:val="26"/>
          <w:lang w:val="pt-BR" w:eastAsia="pt-BR"/>
        </w:rPr>
      </w:pPr>
    </w:p>
    <w:p w14:paraId="396E245F" w14:textId="77777777" w:rsidR="000B1C56" w:rsidRDefault="000B1C56"/>
    <w:sectPr w:rsidR="000B1C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1F7"/>
    <w:rsid w:val="000B1C56"/>
    <w:rsid w:val="001377D3"/>
    <w:rsid w:val="005161F7"/>
    <w:rsid w:val="00CC6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BE972"/>
  <w15:chartTrackingRefBased/>
  <w15:docId w15:val="{99C83CAB-A588-4E10-950E-61EEDAD6F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1F7"/>
    <w:pPr>
      <w:spacing w:before="40" w:after="360" w:line="240" w:lineRule="auto"/>
      <w:ind w:left="720" w:right="720"/>
    </w:pPr>
    <w:rPr>
      <w:color w:val="595959" w:themeColor="text1" w:themeTint="A6"/>
      <w:kern w:val="20"/>
      <w:sz w:val="24"/>
      <w:szCs w:val="20"/>
      <w:lang w:val="pt-PT" w:eastAsia="ja-JP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263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 CMSJI</dc:creator>
  <cp:keywords/>
  <dc:description/>
  <cp:lastModifiedBy>Legislativo CMSJI</cp:lastModifiedBy>
  <cp:revision>3</cp:revision>
  <cp:lastPrinted>2024-03-04T11:45:00Z</cp:lastPrinted>
  <dcterms:created xsi:type="dcterms:W3CDTF">2024-03-04T11:45:00Z</dcterms:created>
  <dcterms:modified xsi:type="dcterms:W3CDTF">2024-03-04T13:05:00Z</dcterms:modified>
</cp:coreProperties>
</file>