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13A1A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nº241</w:t>
      </w:r>
      <w:r w:rsidR="00A51FE9">
        <w:rPr>
          <w:rFonts w:ascii="Arial" w:hAnsi="Arial" w:cs="Arial"/>
          <w:b/>
          <w:sz w:val="24"/>
          <w:szCs w:val="24"/>
        </w:rPr>
        <w:t>/1961</w:t>
      </w:r>
    </w:p>
    <w:p w:rsidR="00A51FE9" w:rsidRDefault="00B40758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alienação de um trator e um terreno, de propriedade desta Prefeitura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A51FE9" w:rsidRDefault="00A51FE9" w:rsidP="00B40758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40758">
        <w:rPr>
          <w:rFonts w:ascii="Arial" w:hAnsi="Arial" w:cs="Arial"/>
          <w:sz w:val="24"/>
          <w:szCs w:val="24"/>
        </w:rPr>
        <w:t>Fica a Prefeitura Municipal autorizada a alienar</w:t>
      </w:r>
      <w:r w:rsidR="00525659">
        <w:rPr>
          <w:rFonts w:ascii="Arial" w:hAnsi="Arial" w:cs="Arial"/>
          <w:sz w:val="24"/>
          <w:szCs w:val="24"/>
        </w:rPr>
        <w:t xml:space="preserve"> em Hasta Pública e pelo maior preço de avaliação um trator “Zetor” e um terreno com um alqueire, mais ou menos, localizado à margem da estrada que vai ao Campestre confrontando com João dos Reis Motta e Ângelo Giraldeli.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>
        <w:rPr>
          <w:rFonts w:ascii="Arial" w:hAnsi="Arial" w:cs="Arial"/>
          <w:sz w:val="26"/>
          <w:szCs w:val="24"/>
        </w:rPr>
        <w:t>Revogadas as disposições em contrário, esta lei entrará em vigor a partir de 1º de janeiro de 1962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525659"/>
    <w:rsid w:val="005E1258"/>
    <w:rsid w:val="00713A1A"/>
    <w:rsid w:val="00A51FE9"/>
    <w:rsid w:val="00AF099C"/>
    <w:rsid w:val="00B40758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2014-06-23T11:38:00Z</dcterms:created>
  <dcterms:modified xsi:type="dcterms:W3CDTF">2014-06-23T11:38:00Z</dcterms:modified>
</cp:coreProperties>
</file>