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568C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9568C9" w:rsidRPr="009568C9">
        <w:rPr>
          <w:sz w:val="24"/>
          <w:szCs w:val="24"/>
        </w:rPr>
        <w:t xml:space="preserve">determinar ao setor competente a possibilidade de instalação de bancos na praça Cristóvão de Assis, localizada na rodovia Dr. Octaviano Costa, Doutor </w:t>
      </w:r>
      <w:proofErr w:type="spellStart"/>
      <w:r w:rsidR="009568C9" w:rsidRPr="009568C9">
        <w:rPr>
          <w:sz w:val="24"/>
          <w:szCs w:val="24"/>
        </w:rPr>
        <w:t>Lund</w:t>
      </w:r>
      <w:proofErr w:type="spellEnd"/>
      <w:r w:rsidR="009568C9" w:rsidRPr="009568C9">
        <w:rPr>
          <w:sz w:val="24"/>
          <w:szCs w:val="24"/>
        </w:rPr>
        <w:t>, nesse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9568C9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68C9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bancos contribui significativamente para o conforto e bem-estar da população, incentivando o uso do espaço público e promovendo maior integração comunitária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CE4EA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CE4EAF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CE4EAF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68C9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E4EAF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4633709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6FBD96-48EA-474D-A92C-C94A2966D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2026-05-08T13:13:00Z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