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A84816" w14:textId="39670841" w:rsidR="00675A99" w:rsidRDefault="00675A99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PARECER DA COMISSÃO</w:t>
      </w:r>
      <w:r w:rsidR="00302668">
        <w:rPr>
          <w:rFonts w:ascii="Arial" w:hAnsi="Arial" w:cs="Arial"/>
          <w:b/>
          <w:sz w:val="23"/>
          <w:szCs w:val="23"/>
          <w:u w:val="single"/>
        </w:rPr>
        <w:t xml:space="preserve"> PERMANENTE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DE </w:t>
      </w:r>
      <w:r w:rsidR="00A93946">
        <w:rPr>
          <w:rFonts w:ascii="Arial" w:hAnsi="Arial" w:cs="Arial"/>
          <w:b/>
          <w:sz w:val="23"/>
          <w:szCs w:val="23"/>
          <w:u w:val="single"/>
        </w:rPr>
        <w:t xml:space="preserve">LEGISLAÇÃO,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JUSTIÇA E REDAÇÃO FINAL </w:t>
      </w:r>
    </w:p>
    <w:p w14:paraId="082C895C" w14:textId="77777777" w:rsidR="00E35780" w:rsidRPr="00675A99" w:rsidRDefault="00E35780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2CFD3027" w14:textId="69A0F2AA" w:rsidR="00FF7577" w:rsidRPr="008B1551" w:rsidRDefault="00FF7577" w:rsidP="00FF7577">
      <w:pPr>
        <w:ind w:left="2832"/>
        <w:jc w:val="both"/>
        <w:rPr>
          <w:rFonts w:ascii="Arial" w:hAnsi="Arial" w:cs="Arial"/>
          <w:b/>
          <w:i/>
          <w:sz w:val="23"/>
          <w:szCs w:val="23"/>
        </w:rPr>
      </w:pPr>
      <w:r w:rsidRPr="008B1551">
        <w:rPr>
          <w:rFonts w:ascii="Arial" w:hAnsi="Arial" w:cs="Arial"/>
          <w:b/>
          <w:i/>
          <w:sz w:val="23"/>
          <w:szCs w:val="23"/>
        </w:rPr>
        <w:t>EMENTA: Dispõe sobre “</w:t>
      </w:r>
      <w:r w:rsidR="000B3C81">
        <w:rPr>
          <w:rFonts w:ascii="Arial" w:hAnsi="Arial" w:cs="Arial"/>
          <w:b/>
          <w:i/>
          <w:sz w:val="23"/>
          <w:szCs w:val="23"/>
        </w:rPr>
        <w:t>Altera artigo 5º da Lei nº 2</w:t>
      </w:r>
      <w:r w:rsidR="002403F5">
        <w:rPr>
          <w:rFonts w:ascii="Arial" w:hAnsi="Arial" w:cs="Arial"/>
          <w:b/>
          <w:i/>
          <w:sz w:val="23"/>
          <w:szCs w:val="23"/>
        </w:rPr>
        <w:t>.</w:t>
      </w:r>
      <w:r w:rsidR="000B3C81">
        <w:rPr>
          <w:rFonts w:ascii="Arial" w:hAnsi="Arial" w:cs="Arial"/>
          <w:b/>
          <w:i/>
          <w:sz w:val="23"/>
          <w:szCs w:val="23"/>
        </w:rPr>
        <w:t>074/2023</w:t>
      </w:r>
      <w:r w:rsidRPr="008B1551">
        <w:rPr>
          <w:rFonts w:ascii="Arial" w:hAnsi="Arial" w:cs="Arial"/>
          <w:b/>
          <w:i/>
          <w:sz w:val="23"/>
          <w:szCs w:val="23"/>
        </w:rPr>
        <w:t>, e dá outras providências”.</w:t>
      </w:r>
    </w:p>
    <w:p w14:paraId="082D19B2" w14:textId="77777777" w:rsidR="00FF7577" w:rsidRPr="00675A99" w:rsidRDefault="00FF7577" w:rsidP="00FF7577">
      <w:pPr>
        <w:ind w:left="2832"/>
        <w:jc w:val="both"/>
        <w:rPr>
          <w:rFonts w:ascii="Arial" w:hAnsi="Arial" w:cs="Arial"/>
          <w:b/>
          <w:sz w:val="23"/>
          <w:szCs w:val="23"/>
        </w:rPr>
      </w:pPr>
    </w:p>
    <w:p w14:paraId="453F66C1" w14:textId="77777777" w:rsidR="00FF7577" w:rsidRPr="00675A99" w:rsidRDefault="00FF7577" w:rsidP="00FF7577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</w:rPr>
        <w:t xml:space="preserve">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1. RELATÓRIO </w:t>
      </w:r>
    </w:p>
    <w:p w14:paraId="2C55D095" w14:textId="3A386A3A" w:rsidR="00FF7577" w:rsidRPr="006979E3" w:rsidRDefault="00FF7577" w:rsidP="00FF7577">
      <w:pPr>
        <w:jc w:val="both"/>
        <w:rPr>
          <w:rFonts w:ascii="Arial" w:hAnsi="Arial" w:cs="Arial"/>
          <w:b/>
          <w:bCs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Trata-se de análise técnica acerca do Projeto de Lei </w:t>
      </w:r>
      <w:r w:rsidR="000B3C81">
        <w:rPr>
          <w:rFonts w:ascii="Arial" w:hAnsi="Arial" w:cs="Arial"/>
          <w:sz w:val="23"/>
          <w:szCs w:val="23"/>
        </w:rPr>
        <w:t>nº. 01</w:t>
      </w:r>
      <w:r w:rsidR="00BF1942">
        <w:rPr>
          <w:rFonts w:ascii="Arial" w:hAnsi="Arial" w:cs="Arial"/>
          <w:sz w:val="23"/>
          <w:szCs w:val="23"/>
        </w:rPr>
        <w:t>5</w:t>
      </w:r>
      <w:r>
        <w:rPr>
          <w:rFonts w:ascii="Arial" w:hAnsi="Arial" w:cs="Arial"/>
          <w:sz w:val="23"/>
          <w:szCs w:val="23"/>
        </w:rPr>
        <w:t>/2024</w:t>
      </w:r>
      <w:r w:rsidRPr="00675A99">
        <w:rPr>
          <w:rFonts w:ascii="Arial" w:hAnsi="Arial" w:cs="Arial"/>
          <w:sz w:val="23"/>
          <w:szCs w:val="23"/>
        </w:rPr>
        <w:t xml:space="preserve">, de autoria </w:t>
      </w:r>
      <w:r>
        <w:rPr>
          <w:rFonts w:ascii="Arial" w:hAnsi="Arial" w:cs="Arial"/>
          <w:sz w:val="23"/>
          <w:szCs w:val="23"/>
        </w:rPr>
        <w:t xml:space="preserve">do Executivo que </w:t>
      </w:r>
      <w:r w:rsidRPr="006979E3">
        <w:rPr>
          <w:rFonts w:ascii="Arial" w:hAnsi="Arial" w:cs="Arial"/>
          <w:b/>
          <w:bCs/>
          <w:sz w:val="23"/>
          <w:szCs w:val="23"/>
        </w:rPr>
        <w:t>“A</w:t>
      </w:r>
      <w:r w:rsidR="000B3C81" w:rsidRPr="006979E3">
        <w:rPr>
          <w:rFonts w:ascii="Arial" w:hAnsi="Arial" w:cs="Arial"/>
          <w:b/>
          <w:bCs/>
          <w:sz w:val="23"/>
          <w:szCs w:val="23"/>
        </w:rPr>
        <w:t>ltera o artigo 5º da Lei nº 2.074/2023,</w:t>
      </w:r>
      <w:r w:rsidRPr="006979E3">
        <w:rPr>
          <w:rFonts w:ascii="Arial" w:hAnsi="Arial" w:cs="Arial"/>
          <w:b/>
          <w:bCs/>
          <w:sz w:val="23"/>
          <w:szCs w:val="23"/>
        </w:rPr>
        <w:t xml:space="preserve"> e dá outras providências”. </w:t>
      </w:r>
    </w:p>
    <w:p w14:paraId="73D999BE" w14:textId="0822F6F8" w:rsidR="000B3C81" w:rsidRPr="000B3C81" w:rsidRDefault="000B3C81" w:rsidP="000B3C81">
      <w:pPr>
        <w:ind w:left="1416"/>
        <w:jc w:val="both"/>
        <w:rPr>
          <w:rFonts w:ascii="Arial" w:hAnsi="Arial" w:cs="Arial"/>
          <w:b/>
          <w:sz w:val="23"/>
          <w:szCs w:val="23"/>
        </w:rPr>
      </w:pPr>
      <w:r w:rsidRPr="000B3C81">
        <w:rPr>
          <w:rFonts w:ascii="Arial" w:hAnsi="Arial" w:cs="Arial"/>
          <w:b/>
          <w:sz w:val="23"/>
          <w:szCs w:val="23"/>
        </w:rPr>
        <w:t>Art. 5º - O mandato dos diretores eleitos através do processo de escolhas disciplinados por esta Lei,</w:t>
      </w:r>
      <w:r>
        <w:rPr>
          <w:rFonts w:ascii="Arial" w:hAnsi="Arial" w:cs="Arial"/>
          <w:b/>
          <w:sz w:val="23"/>
          <w:szCs w:val="23"/>
        </w:rPr>
        <w:t xml:space="preserve"> </w:t>
      </w:r>
      <w:r w:rsidRPr="000B3C81">
        <w:rPr>
          <w:rFonts w:ascii="Arial" w:hAnsi="Arial" w:cs="Arial"/>
          <w:b/>
          <w:sz w:val="23"/>
          <w:szCs w:val="23"/>
        </w:rPr>
        <w:t>será de 04 (quatro) anos, podendo concorrer à reeleição.</w:t>
      </w:r>
    </w:p>
    <w:p w14:paraId="732FAF21" w14:textId="77777777" w:rsidR="00FF7577" w:rsidRPr="00675A99" w:rsidRDefault="00FF7577" w:rsidP="00FF7577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Seguindo as regras regimentais pertinentes ao processo legislativo, a m</w:t>
      </w:r>
      <w:r>
        <w:rPr>
          <w:rFonts w:ascii="Arial" w:hAnsi="Arial" w:cs="Arial"/>
          <w:sz w:val="23"/>
          <w:szCs w:val="23"/>
        </w:rPr>
        <w:t>atéria foi remetida à Comissão de Finanças e Orçamento</w:t>
      </w:r>
      <w:r w:rsidRPr="00675A99">
        <w:rPr>
          <w:rFonts w:ascii="Arial" w:hAnsi="Arial" w:cs="Arial"/>
          <w:sz w:val="23"/>
          <w:szCs w:val="23"/>
        </w:rPr>
        <w:t xml:space="preserve">, para emissão de parecer. </w:t>
      </w:r>
    </w:p>
    <w:p w14:paraId="075E7E60" w14:textId="77777777" w:rsidR="00FF7577" w:rsidRDefault="00FF7577" w:rsidP="00FF7577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É o sucinto relatório.</w:t>
      </w:r>
    </w:p>
    <w:p w14:paraId="4F22E63E" w14:textId="77777777" w:rsidR="00FF7577" w:rsidRPr="00675A99" w:rsidRDefault="00FF7577" w:rsidP="00FF7577">
      <w:pPr>
        <w:jc w:val="both"/>
        <w:rPr>
          <w:rFonts w:ascii="Arial" w:hAnsi="Arial" w:cs="Arial"/>
          <w:sz w:val="23"/>
          <w:szCs w:val="23"/>
        </w:rPr>
      </w:pPr>
    </w:p>
    <w:p w14:paraId="08E7A94D" w14:textId="77777777" w:rsidR="00FF7577" w:rsidRPr="008C6658" w:rsidRDefault="00FF7577" w:rsidP="00FF7577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2. ANÁLISE</w:t>
      </w:r>
    </w:p>
    <w:p w14:paraId="3A569B1B" w14:textId="1E6FF000" w:rsidR="00FF7577" w:rsidRPr="00675A99" w:rsidRDefault="00FF7577" w:rsidP="00FF7577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>Pois bem, vide</w:t>
      </w:r>
      <w:r w:rsidRPr="00675A99">
        <w:rPr>
          <w:rFonts w:ascii="Arial" w:hAnsi="Arial" w:cs="Arial"/>
          <w:sz w:val="23"/>
          <w:szCs w:val="23"/>
        </w:rPr>
        <w:t xml:space="preserve"> que a matéria em debate é de exclusividade do Poder Executivo, consoante LEI ORGÂNICA</w:t>
      </w:r>
      <w:r>
        <w:rPr>
          <w:rFonts w:ascii="Arial" w:hAnsi="Arial" w:cs="Arial"/>
          <w:sz w:val="23"/>
          <w:szCs w:val="23"/>
        </w:rPr>
        <w:t>, em seu art. 5º, incisos I e IX</w:t>
      </w:r>
      <w:r w:rsidRPr="00675A99">
        <w:rPr>
          <w:rFonts w:ascii="Arial" w:hAnsi="Arial" w:cs="Arial"/>
          <w:sz w:val="23"/>
          <w:szCs w:val="23"/>
        </w:rPr>
        <w:t>.</w:t>
      </w:r>
    </w:p>
    <w:p w14:paraId="27893420" w14:textId="77777777" w:rsidR="00FF7577" w:rsidRPr="00261083" w:rsidRDefault="00FF7577" w:rsidP="00FF7577">
      <w:pPr>
        <w:ind w:left="1416"/>
        <w:jc w:val="both"/>
        <w:rPr>
          <w:rFonts w:ascii="Calibri" w:hAnsi="Calibri" w:cs="Calibri"/>
          <w:sz w:val="23"/>
          <w:szCs w:val="23"/>
        </w:rPr>
      </w:pPr>
      <w:r w:rsidRPr="008C6658">
        <w:rPr>
          <w:rFonts w:ascii="Calibri" w:hAnsi="Calibri" w:cs="Calibri"/>
          <w:b/>
          <w:sz w:val="23"/>
          <w:szCs w:val="23"/>
        </w:rPr>
        <w:t>Art. 5º - Ao Município compete legislar sobre assuntos de interesse local, tendo como objetivo o bem-estar de sua população e o pleno desenvolvimento de suas funções sociais, cabendo-lhe privativamente entre outras, as seguintes atribuições:</w:t>
      </w:r>
    </w:p>
    <w:p w14:paraId="55A176E1" w14:textId="77777777" w:rsidR="00FF7577" w:rsidRPr="000B3C81" w:rsidRDefault="00FF7577" w:rsidP="00FF7577">
      <w:pPr>
        <w:jc w:val="both"/>
        <w:rPr>
          <w:rFonts w:ascii="Calibri" w:hAnsi="Calibri" w:cs="Calibri"/>
          <w:b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 w:rsidRPr="000B3C81">
        <w:rPr>
          <w:rFonts w:ascii="Calibri" w:hAnsi="Calibri" w:cs="Calibri"/>
          <w:b/>
          <w:sz w:val="23"/>
          <w:szCs w:val="23"/>
          <w:u w:val="single"/>
        </w:rPr>
        <w:t>I – legislar sobre assuntos de interesse local;</w:t>
      </w:r>
    </w:p>
    <w:p w14:paraId="2E5A8BFA" w14:textId="77777777" w:rsidR="00FF7577" w:rsidRDefault="00FF7577" w:rsidP="00FF7577">
      <w:pPr>
        <w:jc w:val="both"/>
        <w:rPr>
          <w:rFonts w:ascii="Calibri" w:hAnsi="Calibri" w:cs="Calibri"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  <w:u w:val="single"/>
        </w:rPr>
        <w:t>II – (...)</w:t>
      </w:r>
      <w:r w:rsidRPr="00261083">
        <w:rPr>
          <w:rFonts w:ascii="Calibri" w:hAnsi="Calibri" w:cs="Calibri"/>
          <w:sz w:val="23"/>
          <w:szCs w:val="23"/>
          <w:u w:val="single"/>
        </w:rPr>
        <w:t>;</w:t>
      </w:r>
    </w:p>
    <w:p w14:paraId="64E130A3" w14:textId="77777777" w:rsidR="00FF7577" w:rsidRPr="00FF7577" w:rsidRDefault="00FF7577" w:rsidP="00FF7577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Segundo o doutrinador Hely Lopes Meirelles (Direito Municipal Brasileiro, 17ª ed. Atualizada por Adilson Abreu Dallari, São Paulo, Malheiros, 2014), as </w:t>
      </w:r>
      <w:r w:rsidRPr="00FF7577">
        <w:rPr>
          <w:rFonts w:ascii="Arial" w:hAnsi="Arial" w:cs="Arial"/>
          <w:sz w:val="23"/>
          <w:szCs w:val="23"/>
        </w:rPr>
        <w:t>"Leis de iniciativa da Câmara ou, mais propriamente, de seus vereadores são todas as que a lei orgânica municipal não reserva, expressa e privativamente, à iniciativa do prefeito. As leis orgânicas municipais devem reproduzir, dentre as matérias previstas nos arts. 61, § 1º, e 165 da CF, as</w:t>
      </w:r>
      <w:r w:rsidRPr="00675A99">
        <w:rPr>
          <w:rFonts w:ascii="Arial" w:hAnsi="Arial" w:cs="Arial"/>
          <w:b/>
          <w:sz w:val="23"/>
          <w:szCs w:val="23"/>
        </w:rPr>
        <w:t xml:space="preserve"> </w:t>
      </w:r>
      <w:r w:rsidRPr="00FF7577">
        <w:rPr>
          <w:rFonts w:ascii="Arial" w:hAnsi="Arial" w:cs="Arial"/>
          <w:sz w:val="23"/>
          <w:szCs w:val="23"/>
        </w:rPr>
        <w:t xml:space="preserve">que se inserem no âmbito da competência municipal. São, pois, de iniciativa exclusiva do prefeito os projetos de leis que disponham sobre criação, estruturação e atribuição das secretarias, órgãos </w:t>
      </w:r>
      <w:r w:rsidRPr="00FF7577">
        <w:rPr>
          <w:rFonts w:ascii="Arial" w:hAnsi="Arial" w:cs="Arial"/>
          <w:sz w:val="23"/>
          <w:szCs w:val="23"/>
        </w:rPr>
        <w:lastRenderedPageBreak/>
        <w:t>e entes da Administração Pública Municipal; matéria de organização administrativa e planejamento de execução de obras e serviços públicos; criação de cargos, funções ou empregos públicos na Administração direta, autárquica e fundacional do Município; regime jurídico e previdenciário dos servidores municipais, fixação e aumento de sua remuneração; plano plurianual, diretrizes orçamentárias, orçamento anual e créditos suplementares e especiais. Os demais projetos competem concorrentemente ao prefeito e à Câmara, na forma regimental" (p. 633).</w:t>
      </w:r>
    </w:p>
    <w:p w14:paraId="2E13C657" w14:textId="77777777" w:rsidR="00FF7577" w:rsidRDefault="00FF7577" w:rsidP="00FF7577">
      <w:pPr>
        <w:jc w:val="both"/>
        <w:rPr>
          <w:rFonts w:ascii="Arial" w:hAnsi="Arial" w:cs="Arial"/>
          <w:b/>
          <w:sz w:val="23"/>
          <w:szCs w:val="23"/>
        </w:rPr>
      </w:pPr>
    </w:p>
    <w:p w14:paraId="4CECA83D" w14:textId="77777777" w:rsidR="00FF7577" w:rsidRPr="00675A99" w:rsidRDefault="00FF7577" w:rsidP="00FF7577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Assim, quando o projeto se limitar à fixação de normas de conteúdo geral, programático ou, então, quando estabeleça disciplina sobre determinada matéria que já esteja inserida na competência de órgãos municipais, fazendo-o de forma harmônica com a legislação de regência do tema, não há que se cogitar de vícios, eis que a reserva de iniciativa deve ser interpretada restritivamente (STF, Tema 917 de Repercussão Geral, j. 29.09.2016).</w:t>
      </w:r>
    </w:p>
    <w:p w14:paraId="2DFF0267" w14:textId="77777777" w:rsidR="00FF7577" w:rsidRPr="00675A99" w:rsidRDefault="00FF7577" w:rsidP="00FF7577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Pelo prisma formal, o projeto encontra fundamento no art. 5º, da Lei Orgânica do Município, segundo o qual a iniciativa das leis cabe a qualquer membro ou Comissão permanente da Câmara Municipal, ao Prefeito e aos cidadãos, não havendo para a matéria iniciativa reservada. </w:t>
      </w:r>
    </w:p>
    <w:p w14:paraId="2B0C05E2" w14:textId="77777777" w:rsidR="00FF7577" w:rsidRPr="00675A99" w:rsidRDefault="00FF7577" w:rsidP="00FF7577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Com efeito, a regra de reserva de iniciativa deve ser interpretada de modo restritivo, consoante entendimento doutrinário e jurisprudencial correntes, sob pena de ferir o princípio da harmonia e independência entre os Poderes. </w:t>
      </w:r>
    </w:p>
    <w:p w14:paraId="074A6820" w14:textId="77777777" w:rsidR="00FF7577" w:rsidRPr="00FF7577" w:rsidRDefault="00FF7577" w:rsidP="00FF7577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Assim, a existência de iniciativa reservada deve decorrer de previsão expressa, o que não se verifica no presente caso, eis que as matérias </w:t>
      </w:r>
      <w:r w:rsidRPr="00FF7577">
        <w:rPr>
          <w:rFonts w:ascii="Arial" w:hAnsi="Arial" w:cs="Arial"/>
          <w:sz w:val="23"/>
          <w:szCs w:val="23"/>
        </w:rPr>
        <w:t>tratadas neste projeto estão compreendidas na iniciativa parlamentar privada do Poder Executivo.</w:t>
      </w:r>
    </w:p>
    <w:p w14:paraId="4C894FDE" w14:textId="77777777" w:rsidR="00FF7577" w:rsidRPr="00675A99" w:rsidRDefault="00FF7577" w:rsidP="00FF7577">
      <w:pPr>
        <w:jc w:val="both"/>
        <w:rPr>
          <w:rFonts w:ascii="Arial" w:hAnsi="Arial" w:cs="Arial"/>
          <w:sz w:val="23"/>
          <w:szCs w:val="23"/>
        </w:rPr>
      </w:pPr>
    </w:p>
    <w:p w14:paraId="4AC9D2FC" w14:textId="77777777" w:rsidR="00FF7577" w:rsidRPr="00675A99" w:rsidRDefault="00FF7577" w:rsidP="00FF7577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3. CONCLUSÃO </w:t>
      </w:r>
    </w:p>
    <w:p w14:paraId="3BAFF77F" w14:textId="16BB9BF1" w:rsidR="00FF7577" w:rsidRPr="00675A99" w:rsidRDefault="00FF7577" w:rsidP="00FF7577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Diante do acima exposto, opinamos, PELA LEGALIDADE, do projeto de lei à</w:t>
      </w:r>
      <w:r>
        <w:rPr>
          <w:rFonts w:ascii="Arial" w:hAnsi="Arial" w:cs="Arial"/>
          <w:sz w:val="23"/>
          <w:szCs w:val="23"/>
        </w:rPr>
        <w:t xml:space="preserve"> técnica legislativa prevista no </w:t>
      </w:r>
      <w:r w:rsidRPr="00675A99">
        <w:rPr>
          <w:rFonts w:ascii="Arial" w:hAnsi="Arial" w:cs="Arial"/>
          <w:sz w:val="23"/>
          <w:szCs w:val="23"/>
        </w:rPr>
        <w:t>Projeto de Lei Complementar</w:t>
      </w:r>
      <w:r w:rsidR="000B3C81">
        <w:rPr>
          <w:rFonts w:ascii="Arial" w:hAnsi="Arial" w:cs="Arial"/>
          <w:sz w:val="23"/>
          <w:szCs w:val="23"/>
        </w:rPr>
        <w:t xml:space="preserve"> nº. 01</w:t>
      </w:r>
      <w:r w:rsidR="00BF1942">
        <w:rPr>
          <w:rFonts w:ascii="Arial" w:hAnsi="Arial" w:cs="Arial"/>
          <w:sz w:val="23"/>
          <w:szCs w:val="23"/>
        </w:rPr>
        <w:t>5</w:t>
      </w:r>
      <w:r w:rsidR="000B3C81">
        <w:rPr>
          <w:rFonts w:ascii="Arial" w:hAnsi="Arial" w:cs="Arial"/>
          <w:sz w:val="23"/>
          <w:szCs w:val="23"/>
        </w:rPr>
        <w:t>/2024, de 29</w:t>
      </w:r>
      <w:r>
        <w:rPr>
          <w:rFonts w:ascii="Arial" w:hAnsi="Arial" w:cs="Arial"/>
          <w:sz w:val="23"/>
          <w:szCs w:val="23"/>
        </w:rPr>
        <w:t xml:space="preserve"> de </w:t>
      </w:r>
      <w:r w:rsidR="000B3C81">
        <w:rPr>
          <w:rFonts w:ascii="Arial" w:hAnsi="Arial" w:cs="Arial"/>
          <w:sz w:val="23"/>
          <w:szCs w:val="23"/>
        </w:rPr>
        <w:t xml:space="preserve">outubro </w:t>
      </w:r>
      <w:r>
        <w:rPr>
          <w:rFonts w:ascii="Arial" w:hAnsi="Arial" w:cs="Arial"/>
          <w:sz w:val="23"/>
          <w:szCs w:val="23"/>
        </w:rPr>
        <w:t>de 2024.</w:t>
      </w:r>
    </w:p>
    <w:p w14:paraId="68B696D4" w14:textId="77777777" w:rsidR="00FF7577" w:rsidRPr="00675A99" w:rsidRDefault="00FF7577" w:rsidP="00FF7577">
      <w:pPr>
        <w:ind w:left="708" w:firstLine="708"/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É como votamos. </w:t>
      </w:r>
    </w:p>
    <w:p w14:paraId="3FC53F19" w14:textId="337C847C" w:rsidR="00FF7577" w:rsidRPr="00675A99" w:rsidRDefault="00FF7577" w:rsidP="00FF757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>Faria Lemos,</w:t>
      </w:r>
      <w:r w:rsidR="000B3C81">
        <w:rPr>
          <w:rFonts w:ascii="Arial" w:hAnsi="Arial" w:cs="Arial"/>
          <w:sz w:val="23"/>
          <w:szCs w:val="23"/>
        </w:rPr>
        <w:t xml:space="preserve"> 21 de novembro</w:t>
      </w:r>
      <w:r>
        <w:rPr>
          <w:rFonts w:ascii="Arial" w:hAnsi="Arial" w:cs="Arial"/>
          <w:sz w:val="23"/>
          <w:szCs w:val="23"/>
        </w:rPr>
        <w:t xml:space="preserve"> de 2.024</w:t>
      </w:r>
      <w:r w:rsidRPr="00675A99">
        <w:rPr>
          <w:rFonts w:ascii="Arial" w:hAnsi="Arial" w:cs="Arial"/>
          <w:sz w:val="23"/>
          <w:szCs w:val="23"/>
        </w:rPr>
        <w:t>.</w:t>
      </w:r>
    </w:p>
    <w:p w14:paraId="4AE266B5" w14:textId="77777777" w:rsidR="00675A99" w:rsidRDefault="00675A99" w:rsidP="00675A99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14:paraId="699C59F1" w14:textId="77777777" w:rsidR="004852FB" w:rsidRDefault="004852FB" w:rsidP="00675A99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14:paraId="01A762C3" w14:textId="77777777" w:rsidR="004852FB" w:rsidRPr="00675A99" w:rsidRDefault="004852FB" w:rsidP="00675A99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14:paraId="1D6084D0" w14:textId="77777777" w:rsidR="00435E88" w:rsidRDefault="00435E88" w:rsidP="00675A99">
      <w:pPr>
        <w:jc w:val="both"/>
        <w:rPr>
          <w:rFonts w:ascii="Arial" w:hAnsi="Arial" w:cs="Arial"/>
          <w:sz w:val="23"/>
          <w:szCs w:val="23"/>
        </w:rPr>
      </w:pPr>
    </w:p>
    <w:p w14:paraId="4DA9DD68" w14:textId="77777777" w:rsidR="00435E88" w:rsidRPr="00675A99" w:rsidRDefault="00435E88" w:rsidP="00675A99">
      <w:pPr>
        <w:jc w:val="both"/>
        <w:rPr>
          <w:rFonts w:ascii="Arial" w:hAnsi="Arial" w:cs="Arial"/>
          <w:sz w:val="23"/>
          <w:szCs w:val="23"/>
        </w:rPr>
      </w:pPr>
    </w:p>
    <w:p w14:paraId="5D86B8C6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COMISSÃO PERMANENTE DE LEGISLAÇÃO, JUSTIÇA E REDAÇÃO FINAL</w:t>
      </w:r>
    </w:p>
    <w:p w14:paraId="2C57292D" w14:textId="089FAAFD" w:rsidR="00675A99" w:rsidRPr="00675A99" w:rsidRDefault="00675A99" w:rsidP="00675A99">
      <w:pPr>
        <w:jc w:val="both"/>
        <w:rPr>
          <w:rFonts w:ascii="Arial" w:hAnsi="Arial" w:cs="Arial"/>
          <w:sz w:val="23"/>
          <w:szCs w:val="23"/>
        </w:rPr>
      </w:pPr>
    </w:p>
    <w:p w14:paraId="48D3F180" w14:textId="77777777" w:rsidR="004E646B" w:rsidRDefault="004E646B" w:rsidP="00435E88">
      <w:pPr>
        <w:rPr>
          <w:rFonts w:ascii="Arial" w:hAnsi="Arial" w:cs="Arial"/>
          <w:b/>
          <w:sz w:val="23"/>
          <w:szCs w:val="23"/>
        </w:rPr>
      </w:pPr>
    </w:p>
    <w:p w14:paraId="2EDFE9A8" w14:textId="77777777" w:rsidR="004E646B" w:rsidRDefault="004E646B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26D380A3" w14:textId="05E4A022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Neide Vieira da Silva</w:t>
      </w:r>
    </w:p>
    <w:p w14:paraId="1AFAA62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Presidente</w:t>
      </w:r>
    </w:p>
    <w:p w14:paraId="586296DD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594285DC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68162023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Carlos Eduardo Rodrigues de Souza</w:t>
      </w:r>
    </w:p>
    <w:p w14:paraId="33DBC90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Relator</w:t>
      </w:r>
    </w:p>
    <w:p w14:paraId="11BC54CF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010E4A51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1C45B2FC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Eduardo Manoel Santana de Oliveira</w:t>
      </w:r>
    </w:p>
    <w:p w14:paraId="38F031CF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Vice</w:t>
      </w:r>
    </w:p>
    <w:p w14:paraId="71B3A362" w14:textId="77777777" w:rsidR="004F1872" w:rsidRPr="00675A99" w:rsidRDefault="004F1872">
      <w:pPr>
        <w:rPr>
          <w:rFonts w:ascii="Arial" w:hAnsi="Arial" w:cs="Arial"/>
          <w:sz w:val="23"/>
          <w:szCs w:val="23"/>
        </w:rPr>
      </w:pPr>
    </w:p>
    <w:sectPr w:rsidR="004F1872" w:rsidRPr="00675A9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B10DE" w14:textId="77777777" w:rsidR="00E85945" w:rsidRDefault="00E85945">
      <w:pPr>
        <w:spacing w:after="0" w:line="240" w:lineRule="auto"/>
      </w:pPr>
      <w:r>
        <w:separator/>
      </w:r>
    </w:p>
  </w:endnote>
  <w:endnote w:type="continuationSeparator" w:id="0">
    <w:p w14:paraId="6A691AEF" w14:textId="77777777" w:rsidR="00E85945" w:rsidRDefault="00E85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1ED08" w14:textId="77777777" w:rsidR="00BC09D8" w:rsidRPr="00586DFB" w:rsidRDefault="00BC09D8" w:rsidP="00BC09D8">
    <w:pPr>
      <w:jc w:val="center"/>
      <w:rPr>
        <w:rFonts w:ascii="Times New Roman" w:hAnsi="Times New Roman"/>
        <w:b/>
      </w:rPr>
    </w:pPr>
  </w:p>
  <w:p w14:paraId="3501990F" w14:textId="457C448D" w:rsidR="001110AC" w:rsidRPr="00BC09D8" w:rsidRDefault="00BC09D8" w:rsidP="00BC09D8">
    <w:pPr>
      <w:pStyle w:val="Rodap"/>
      <w:jc w:val="center"/>
      <w:rPr>
        <w:rFonts w:ascii="Times New Roman" w:hAnsi="Times New Roman"/>
      </w:rPr>
    </w:pPr>
    <w:r w:rsidRPr="00586DFB">
      <w:rPr>
        <w:rFonts w:ascii="Times New Roman" w:hAnsi="Times New Roman"/>
        <w:b/>
      </w:rPr>
      <w:t>Rua Coronel João Marcelino, 186, Centro – Faria Lemos/MG – CEP: 36840-000 – Tel.: (32) 3749-1230 – E-mail: contato@camarafarialemos.mg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1F6F9F" w14:textId="77777777" w:rsidR="00E85945" w:rsidRDefault="00E85945">
      <w:pPr>
        <w:spacing w:after="0" w:line="240" w:lineRule="auto"/>
      </w:pPr>
      <w:r>
        <w:separator/>
      </w:r>
    </w:p>
  </w:footnote>
  <w:footnote w:type="continuationSeparator" w:id="0">
    <w:p w14:paraId="30E501BE" w14:textId="77777777" w:rsidR="00E85945" w:rsidRDefault="00E85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B9505" w14:textId="77777777" w:rsidR="00BC09D8" w:rsidRPr="00586DFB" w:rsidRDefault="00BC09D8" w:rsidP="00BC09D8">
    <w:pPr>
      <w:pStyle w:val="Cabealho"/>
      <w:rPr>
        <w:rFonts w:ascii="Times New Roman" w:hAnsi="Times New Roman"/>
        <w:b/>
        <w:sz w:val="38"/>
        <w:szCs w:val="38"/>
        <w:u w:val="single"/>
      </w:rPr>
    </w:pPr>
    <w:r w:rsidRPr="00586DFB">
      <w:rPr>
        <w:rFonts w:ascii="Times New Roman" w:hAnsi="Times New Roman"/>
        <w:noProof/>
        <w:color w:val="1A0DAB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7264C949" wp14:editId="69720D8F">
          <wp:simplePos x="0" y="0"/>
          <wp:positionH relativeFrom="column">
            <wp:posOffset>-743585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6DFB">
      <w:rPr>
        <w:rFonts w:ascii="Times New Roman" w:hAnsi="Times New Roman"/>
        <w:b/>
        <w:sz w:val="38"/>
        <w:szCs w:val="38"/>
        <w:u w:val="single"/>
      </w:rPr>
      <w:t xml:space="preserve">  </w:t>
    </w:r>
  </w:p>
  <w:p w14:paraId="46F09A49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b/>
        <w:sz w:val="36"/>
        <w:szCs w:val="36"/>
        <w:u w:val="single"/>
      </w:rPr>
    </w:pPr>
    <w:r w:rsidRPr="00586DFB">
      <w:rPr>
        <w:rFonts w:ascii="Times New Roman" w:hAnsi="Times New Roman"/>
        <w:b/>
        <w:sz w:val="36"/>
        <w:szCs w:val="36"/>
        <w:u w:val="single"/>
      </w:rPr>
      <w:t>CÂMARA MUNICIPAL DE FARIA LEMOS</w:t>
    </w:r>
  </w:p>
  <w:p w14:paraId="175BC893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sz w:val="28"/>
        <w:szCs w:val="28"/>
      </w:rPr>
    </w:pPr>
    <w:r w:rsidRPr="00586DFB">
      <w:rPr>
        <w:rFonts w:ascii="Times New Roman" w:hAnsi="Times New Roman"/>
        <w:sz w:val="28"/>
        <w:szCs w:val="28"/>
      </w:rPr>
      <w:t>CEP: 36840-000    -   Estado de Minas Gerais</w:t>
    </w:r>
  </w:p>
  <w:p w14:paraId="372A7204" w14:textId="77777777" w:rsidR="00BC09D8" w:rsidRPr="00586DFB" w:rsidRDefault="00BC09D8" w:rsidP="00BC09D8">
    <w:pPr>
      <w:pStyle w:val="Cabealho"/>
      <w:jc w:val="center"/>
      <w:rPr>
        <w:rFonts w:ascii="Times New Roman" w:hAnsi="Times New Roman"/>
      </w:rPr>
    </w:pPr>
    <w:r w:rsidRPr="00586DFB">
      <w:rPr>
        <w:rFonts w:ascii="Times New Roman" w:hAnsi="Times New Roman"/>
        <w:sz w:val="28"/>
        <w:szCs w:val="28"/>
      </w:rPr>
      <w:t>Rua Coronel João Marcelino, 186 – CNPJ: 26.114.819/0001-73</w:t>
    </w:r>
  </w:p>
  <w:p w14:paraId="14CCF2C3" w14:textId="77777777" w:rsidR="001110AC" w:rsidRDefault="001110AC">
    <w:pPr>
      <w:pStyle w:val="Cabealho"/>
    </w:pPr>
  </w:p>
  <w:p w14:paraId="1589E8D3" w14:textId="77777777" w:rsidR="001110AC" w:rsidRDefault="001110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A99"/>
    <w:rsid w:val="000B3C81"/>
    <w:rsid w:val="001110AC"/>
    <w:rsid w:val="002403F5"/>
    <w:rsid w:val="00261083"/>
    <w:rsid w:val="00302668"/>
    <w:rsid w:val="00435E88"/>
    <w:rsid w:val="004852FB"/>
    <w:rsid w:val="004C2678"/>
    <w:rsid w:val="004E646B"/>
    <w:rsid w:val="004F1872"/>
    <w:rsid w:val="00513609"/>
    <w:rsid w:val="005550B8"/>
    <w:rsid w:val="00675A99"/>
    <w:rsid w:val="006979E3"/>
    <w:rsid w:val="007558D9"/>
    <w:rsid w:val="00772B9E"/>
    <w:rsid w:val="008C6658"/>
    <w:rsid w:val="00A93946"/>
    <w:rsid w:val="00B0123A"/>
    <w:rsid w:val="00B468B0"/>
    <w:rsid w:val="00BC09D8"/>
    <w:rsid w:val="00BF1942"/>
    <w:rsid w:val="00C14A9F"/>
    <w:rsid w:val="00D31A39"/>
    <w:rsid w:val="00E35780"/>
    <w:rsid w:val="00E85945"/>
    <w:rsid w:val="00FD2E83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F091"/>
  <w15:docId w15:val="{76F2FD39-D68C-4750-B212-33E3C597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A9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rsid w:val="00675A99"/>
  </w:style>
  <w:style w:type="paragraph" w:styleId="Rodap">
    <w:name w:val="footer"/>
    <w:basedOn w:val="Normal"/>
    <w:link w:val="RodapChar"/>
    <w:uiPriority w:val="99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617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Camara Municipal</cp:lastModifiedBy>
  <cp:revision>5</cp:revision>
  <cp:lastPrinted>2024-11-21T21:04:00Z</cp:lastPrinted>
  <dcterms:created xsi:type="dcterms:W3CDTF">2024-11-21T18:59:00Z</dcterms:created>
  <dcterms:modified xsi:type="dcterms:W3CDTF">2024-11-21T21:48:00Z</dcterms:modified>
</cp:coreProperties>
</file>