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color w:val="000000" w:themeColor="text1"/>
        </w:rPr>
        <w:t xml:space="preserve">MOÇÃO</w:t>
      </w:r>
      <w:r>
        <w:rPr>
          <w:rFonts w:ascii="Arial" w:hAnsi="Arial" w:cs="Arial"/>
          <w:b/>
          <w:color w:val="000000" w:themeColor="text1"/>
        </w:rPr>
        <w:t xml:space="preserve"> Nº ____/2023</w:t>
      </w:r>
      <w:r>
        <w:rPr>
          <w:rFonts w:ascii="Arial" w:hAnsi="Arial" w:cs="Arial"/>
          <w:color w:val="333333"/>
        </w:rPr>
        <w:br/>
      </w:r>
      <w:r>
        <w:rPr>
          <w:rFonts w:ascii="Arial" w:hAnsi="Arial" w:cs="Arial"/>
          <w:color w:val="333333"/>
          <w:sz w:val="24"/>
          <w:szCs w:val="24"/>
        </w:rPr>
      </w:r>
      <w:r/>
    </w:p>
    <w:p>
      <w:pPr>
        <w:pStyle w:val="874"/>
        <w:ind w:left="0" w:right="0" w:firstLine="0"/>
        <w:jc w:val="left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  <w:sz w:val="24"/>
          <w:szCs w:val="24"/>
        </w:rPr>
      </w:r>
      <w:r>
        <w:rPr>
          <w:rFonts w:ascii="Arial" w:hAnsi="Arial" w:cs="Arial"/>
          <w:sz w:val="24"/>
          <w:szCs w:val="24"/>
        </w:rPr>
        <w:t xml:space="preserve">Sr.</w:t>
      </w:r>
      <w:r>
        <w:rPr>
          <w:rFonts w:ascii="Arial" w:hAnsi="Arial" w:cs="Arial"/>
          <w:sz w:val="24"/>
          <w:szCs w:val="24"/>
        </w:rPr>
        <w:t xml:space="preserve"> Presidente;</w:t>
      </w:r>
      <w:r>
        <w:rPr>
          <w:rFonts w:ascii="Arial" w:hAnsi="Arial" w:cs="Arial"/>
          <w:color w:val="333333"/>
          <w:sz w:val="24"/>
          <w:szCs w:val="24"/>
        </w:rPr>
      </w:r>
      <w:r/>
    </w:p>
    <w:p>
      <w:pPr>
        <w:pStyle w:val="718"/>
        <w:ind w:left="0"/>
        <w:jc w:val="both"/>
        <w:tabs>
          <w:tab w:val="left" w:pos="8275" w:leader="none"/>
        </w:tabs>
      </w:pPr>
      <w:r>
        <w:rPr>
          <w:rFonts w:ascii="Arial" w:hAnsi="Arial" w:cs="Arial"/>
          <w:sz w:val="24"/>
          <w:szCs w:val="24"/>
        </w:rPr>
        <w:t xml:space="preserve">Srs. Vereadores</w:t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/>
        <w:jc w:val="both"/>
        <w:tabs>
          <w:tab w:val="left" w:pos="8275" w:leader="none"/>
        </w:tabs>
      </w:pPr>
      <w:r>
        <w:rPr>
          <w:rFonts w:ascii="Arial" w:hAnsi="Arial" w:cs="Arial"/>
          <w:sz w:val="24"/>
          <w:szCs w:val="24"/>
          <w:highlight w:val="none"/>
        </w:rPr>
      </w:r>
      <w:r>
        <w:rPr>
          <w:rFonts w:ascii="Arial" w:hAnsi="Arial" w:cs="Arial"/>
          <w:sz w:val="24"/>
          <w:szCs w:val="24"/>
          <w:highlight w:val="none"/>
        </w:rPr>
      </w:r>
      <w:r/>
    </w:p>
    <w:p>
      <w:pPr>
        <w:pStyle w:val="718"/>
        <w:ind w:left="0" w:right="0" w:firstLine="0"/>
        <w:jc w:val="both"/>
        <w:tabs>
          <w:tab w:val="center" w:pos="0" w:leader="none"/>
          <w:tab w:val="left" w:pos="567" w:leader="none"/>
          <w:tab w:val="clear" w:pos="7143" w:leader="none"/>
          <w:tab w:val="left" w:pos="14287" w:leader="none"/>
          <w:tab w:val="left" w:pos="14287" w:leader="none"/>
        </w:tabs>
      </w:pPr>
      <w:r>
        <w:rPr>
          <w:rFonts w:ascii="Arial" w:hAnsi="Arial" w:cs="Arial"/>
          <w:sz w:val="24"/>
          <w:szCs w:val="24"/>
        </w:rPr>
        <w:tab/>
        <w:t xml:space="preserve">O Vereador do Poder Legislativo Municipal, abaixo assinado, no uso de suas atribuições legais em conformidade com o Regimento Interno, requer que, seja encaminhado.</w:t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 w:firstLine="0"/>
        <w:jc w:val="both"/>
      </w:pPr>
      <w:r>
        <w:rPr>
          <w:rFonts w:ascii="Arial" w:hAnsi="Arial" w:cs="Arial"/>
          <w:highlight w:val="none"/>
        </w:rPr>
      </w:r>
      <w:r>
        <w:rPr>
          <w:rFonts w:ascii="Arial" w:hAnsi="Arial" w:cs="Arial"/>
          <w:sz w:val="24"/>
          <w:szCs w:val="24"/>
        </w:rPr>
      </w:r>
      <w:r/>
    </w:p>
    <w:p>
      <w:pPr>
        <w:pStyle w:val="718"/>
        <w:ind w:left="0" w:firstLine="0"/>
        <w:jc w:val="center"/>
        <w:tabs>
          <w:tab w:val="left" w:pos="6416" w:leader="none"/>
          <w:tab w:val="clear" w:pos="7143" w:leader="none"/>
          <w:tab w:val="clear" w:pos="14287" w:leader="none"/>
        </w:tabs>
        <w:suppressLineNumbers w:val="0"/>
      </w:pPr>
      <w:r>
        <w:rPr>
          <w:rFonts w:ascii="Arial" w:hAnsi="Arial" w:cs="Arial"/>
          <w:b/>
          <w:sz w:val="28"/>
          <w:szCs w:val="28"/>
          <w:highlight w:val="none"/>
        </w:rPr>
      </w:r>
      <w:r>
        <w:rPr>
          <w:rFonts w:ascii="Arial" w:hAnsi="Arial" w:cs="Arial"/>
          <w:b/>
          <w:sz w:val="28"/>
          <w:szCs w:val="28"/>
          <w:highlight w:val="none"/>
        </w:rPr>
      </w:r>
      <w:r/>
    </w:p>
    <w:p>
      <w:pPr>
        <w:pStyle w:val="868"/>
        <w:ind w:left="2835" w:firstLine="567"/>
        <w:jc w:val="both"/>
      </w:pPr>
      <w:r>
        <w:rPr>
          <w:rFonts w:eastAsia="MS Sans Serif" w:cs="Times New Roman"/>
          <w:b/>
          <w:bCs/>
          <w:color w:val="000000"/>
        </w:rPr>
        <w:t xml:space="preserve">Moção de Apoio </w:t>
      </w:r>
      <w:r>
        <w:rPr>
          <w:rFonts w:eastAsia="MS Sans Serif" w:cs="Times New Roman"/>
          <w:b/>
          <w:bCs/>
          <w:color w:val="000000"/>
        </w:rPr>
        <w:t xml:space="preserve">endereçada às presidências da</w:t>
      </w:r>
      <w:r>
        <w:rPr>
          <w:rFonts w:eastAsia="MS Sans Serif" w:cs="Times New Roman"/>
          <w:b/>
          <w:bCs/>
          <w:color w:val="000000"/>
        </w:rPr>
        <w:t xml:space="preserve"> Câmara dos Deputados e ao Senado Federal</w:t>
      </w:r>
      <w:r>
        <w:rPr>
          <w:rFonts w:eastAsia="MS Sans Serif" w:cs="Times New Roman"/>
          <w:b/>
          <w:bCs/>
          <w:color w:val="000000"/>
        </w:rPr>
        <w:t xml:space="preserve">, em apoio as prerrogativas do Poder Legi</w:t>
      </w:r>
      <w:r>
        <w:rPr>
          <w:rFonts w:eastAsia="MS Sans Serif" w:cs="Times New Roman"/>
          <w:b/>
          <w:bCs/>
          <w:color w:val="000000"/>
        </w:rPr>
        <w:t xml:space="preserve">slativo Federal, tendo em vista a usurpação de fu</w:t>
      </w:r>
      <w:r>
        <w:rPr>
          <w:rFonts w:eastAsia="MS Sans Serif" w:cs="Times New Roman"/>
          <w:b/>
          <w:bCs/>
          <w:color w:val="000000"/>
        </w:rPr>
        <w:t xml:space="preserve">nções em </w:t>
      </w:r>
      <w:r>
        <w:rPr>
          <w:rFonts w:eastAsia="MS Sans Serif" w:cs="Times New Roman"/>
          <w:b/>
          <w:bCs/>
          <w:color w:val="000000"/>
        </w:rPr>
        <w:t xml:space="preserve">decorrência</w:t>
      </w:r>
      <w:r>
        <w:rPr>
          <w:rFonts w:eastAsia="MS Sans Serif" w:cs="Times New Roman"/>
          <w:b/>
          <w:bCs/>
          <w:color w:val="000000"/>
        </w:rPr>
        <w:t xml:space="preserve"> </w:t>
      </w:r>
      <w:r>
        <w:rPr>
          <w:rFonts w:eastAsia="MS Sans Serif" w:cs="Times New Roman"/>
          <w:b/>
          <w:bCs/>
          <w:color w:val="000000"/>
        </w:rPr>
        <w:t xml:space="preserve">da apreciação da ADPF 442 pelo Supremo Tribunal Federal</w:t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ind w:firstLine="567"/>
      </w:pPr>
      <w:r>
        <w:rPr>
          <w:rFonts w:eastAsia="MS Sans Serif" w:cs="Times New Roman"/>
          <w:b/>
          <w:bCs/>
          <w:i/>
          <w:iCs/>
          <w:color w:val="000000"/>
        </w:rPr>
      </w:r>
      <w:r>
        <w:rPr>
          <w:rFonts w:eastAsia="MS Sans Serif" w:cs="Times New Roman"/>
          <w:b/>
          <w:bCs/>
          <w:i/>
          <w:iCs/>
          <w:color w:val="000000"/>
        </w:rPr>
      </w:r>
      <w:r/>
    </w:p>
    <w:p>
      <w:pPr>
        <w:pStyle w:val="868"/>
        <w:ind w:firstLine="567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right="-1" w:firstLine="2835"/>
        <w:jc w:val="both"/>
      </w:pPr>
      <w:r>
        <w:rPr>
          <w:rFonts w:eastAsia="MS Sans Serif" w:cs="Times New Roman"/>
          <w:color w:val="000000"/>
        </w:rPr>
        <w:t xml:space="preserve">Excelen</w:t>
      </w:r>
      <w:r>
        <w:rPr>
          <w:rFonts w:eastAsia="MS Sans Serif" w:cs="Times New Roman"/>
          <w:color w:val="000000"/>
        </w:rPr>
        <w:t xml:space="preserve">tíssimo Senhor Presidente Luciano Bertinetti</w:t>
      </w:r>
      <w:r>
        <w:rPr>
          <w:rFonts w:eastAsia="MS Sans Serif" w:cs="Times New Roman"/>
          <w:color w:val="000000"/>
        </w:rPr>
        <w:t xml:space="preserve">, o vereador Oraci de Souza Teixeira</w:t>
      </w:r>
      <w:r>
        <w:rPr>
          <w:rFonts w:eastAsia="MS Sans Serif" w:cs="Times New Roman"/>
          <w:color w:val="000000"/>
        </w:rPr>
        <w:t xml:space="preserve">, no uso de sua</w:t>
      </w:r>
      <w:r>
        <w:rPr>
          <w:rFonts w:eastAsia="MS Sans Serif" w:cs="Times New Roman"/>
          <w:color w:val="000000"/>
        </w:rPr>
        <w:t xml:space="preserve">s funções, requer que</w:t>
      </w:r>
      <w:r>
        <w:rPr>
          <w:rFonts w:eastAsia="MS Sans Serif" w:cs="Times New Roman"/>
          <w:color w:val="000000"/>
        </w:rPr>
        <w:t xml:space="preserve"> a</w:t>
      </w:r>
      <w:r>
        <w:rPr>
          <w:rFonts w:eastAsia="MS Sans Serif" w:cs="Times New Roman"/>
          <w:color w:val="000000"/>
        </w:rPr>
        <w:t xml:space="preserve"> </w:t>
      </w:r>
      <w:r>
        <w:rPr>
          <w:rFonts w:eastAsia="MS Sans Serif" w:cs="Times New Roman"/>
          <w:color w:val="000000"/>
        </w:rPr>
        <w:t xml:space="preserve">Presidência </w:t>
      </w:r>
      <w:r>
        <w:rPr>
          <w:rFonts w:eastAsia="MS Sans Serif" w:cs="Times New Roman"/>
          <w:color w:val="000000"/>
        </w:rPr>
        <w:t xml:space="preserve">envi</w:t>
      </w:r>
      <w:r>
        <w:rPr>
          <w:rFonts w:eastAsia="MS Sans Serif" w:cs="Times New Roman"/>
          <w:color w:val="000000"/>
        </w:rPr>
        <w:t xml:space="preserve">e</w:t>
      </w:r>
      <w:r>
        <w:rPr>
          <w:rFonts w:eastAsia="MS Sans Serif" w:cs="Times New Roman"/>
          <w:color w:val="000000"/>
        </w:rPr>
        <w:t xml:space="preserve">, </w:t>
      </w:r>
      <w:r>
        <w:rPr>
          <w:rFonts w:eastAsia="MS Sans Serif" w:cs="Times New Roman"/>
          <w:color w:val="000000"/>
        </w:rPr>
        <w:t xml:space="preserve">após deliberação do plenár</w:t>
      </w:r>
      <w:r>
        <w:rPr>
          <w:rFonts w:eastAsia="MS Sans Serif" w:cs="Times New Roman"/>
          <w:color w:val="000000"/>
        </w:rPr>
        <w:t xml:space="preserve">io, a presente</w:t>
      </w:r>
      <w:r>
        <w:rPr>
          <w:rFonts w:eastAsia="MS Sans Serif" w:cs="Times New Roman"/>
          <w:color w:val="000000"/>
        </w:rPr>
        <w:t xml:space="preserve"> </w:t>
      </w:r>
      <w:r>
        <w:rPr>
          <w:rFonts w:eastAsia="MS Sans Serif" w:cs="Times New Roman"/>
          <w:b/>
          <w:bCs/>
          <w:color w:val="000000"/>
        </w:rPr>
        <w:t xml:space="preserve">MOÇÃO DE APOIO</w:t>
      </w:r>
      <w:r>
        <w:rPr>
          <w:rFonts w:eastAsia="MS Sans Serif" w:cs="Times New Roman"/>
          <w:color w:val="000000"/>
        </w:rPr>
        <w:t xml:space="preserve"> ao Congresso Nacional</w:t>
      </w:r>
      <w:r>
        <w:rPr>
          <w:rFonts w:eastAsia="MS Sans Serif" w:cs="Times New Roman"/>
          <w:color w:val="000000"/>
        </w:rPr>
        <w:t xml:space="preserve"> (Câmara </w:t>
      </w:r>
      <w:r>
        <w:rPr>
          <w:rFonts w:eastAsia="MS Sans Serif" w:cs="Times New Roman"/>
          <w:color w:val="000000"/>
        </w:rPr>
        <w:t xml:space="preserve">dos Deputados e Senado Federal)</w:t>
      </w:r>
      <w:r>
        <w:rPr>
          <w:rFonts w:eastAsia="MS Sans Serif" w:cs="Times New Roman"/>
          <w:color w:val="000000"/>
        </w:rPr>
        <w:t xml:space="preserve">, em face da tentati</w:t>
      </w:r>
      <w:r>
        <w:rPr>
          <w:rFonts w:eastAsia="MS Sans Serif" w:cs="Times New Roman"/>
          <w:color w:val="000000"/>
        </w:rPr>
        <w:t xml:space="preserve">va de legalização do </w:t>
      </w:r>
      <w:r>
        <w:rPr>
          <w:rFonts w:eastAsia="MS Sans Serif" w:cs="Times New Roman"/>
          <w:b/>
          <w:bCs/>
          <w:color w:val="000000"/>
        </w:rPr>
        <w:t xml:space="preserve">aborto</w:t>
      </w:r>
      <w:r>
        <w:rPr>
          <w:rFonts w:eastAsia="MS Sans Serif" w:cs="Times New Roman"/>
          <w:color w:val="000000"/>
        </w:rPr>
        <w:t xml:space="preserve"> por meio da </w:t>
      </w:r>
      <w:r>
        <w:rPr>
          <w:rFonts w:eastAsia="MS Sans Serif" w:cs="Times New Roman"/>
          <w:b/>
          <w:bCs/>
          <w:color w:val="000000"/>
        </w:rPr>
        <w:t xml:space="preserve">ADPF 442</w:t>
      </w:r>
      <w:r>
        <w:rPr>
          <w:rFonts w:eastAsia="MS Sans Serif" w:cs="Times New Roman"/>
          <w:color w:val="000000"/>
        </w:rPr>
        <w:t xml:space="preserve"> (</w:t>
      </w:r>
      <w:r>
        <w:rPr>
          <w:rFonts w:eastAsia="MS Sans Serif" w:cs="Times New Roman"/>
          <w:color w:val="000000"/>
        </w:rPr>
        <w:t xml:space="preserve">Arguição de </w:t>
      </w:r>
      <w:r>
        <w:rPr>
          <w:rFonts w:eastAsia="MS Sans Serif" w:cs="Times New Roman"/>
          <w:color w:val="000000"/>
        </w:rPr>
        <w:t xml:space="preserve">D</w:t>
      </w:r>
      <w:r>
        <w:rPr>
          <w:rFonts w:eastAsia="MS Sans Serif" w:cs="Times New Roman"/>
          <w:color w:val="000000"/>
        </w:rPr>
        <w:t xml:space="preserve">escumprimento de </w:t>
      </w:r>
      <w:r>
        <w:rPr>
          <w:rFonts w:eastAsia="MS Sans Serif" w:cs="Times New Roman"/>
          <w:color w:val="000000"/>
        </w:rPr>
        <w:t xml:space="preserve">P</w:t>
      </w:r>
      <w:r>
        <w:rPr>
          <w:rFonts w:eastAsia="MS Sans Serif" w:cs="Times New Roman"/>
          <w:color w:val="000000"/>
        </w:rPr>
        <w:t xml:space="preserve">receito </w:t>
      </w:r>
      <w:r>
        <w:rPr>
          <w:rFonts w:eastAsia="MS Sans Serif" w:cs="Times New Roman"/>
          <w:color w:val="000000"/>
        </w:rPr>
        <w:t xml:space="preserve">F</w:t>
      </w:r>
      <w:r>
        <w:rPr>
          <w:rFonts w:eastAsia="MS Sans Serif" w:cs="Times New Roman"/>
          <w:color w:val="000000"/>
        </w:rPr>
        <w:t xml:space="preserve">undamental</w:t>
      </w:r>
      <w:r>
        <w:rPr>
          <w:rFonts w:eastAsia="MS Sans Serif" w:cs="Times New Roman"/>
          <w:color w:val="000000"/>
        </w:rPr>
        <w:t xml:space="preserve"> 442)</w:t>
      </w:r>
      <w:r>
        <w:rPr>
          <w:rFonts w:eastAsia="MS Sans Serif" w:cs="Times New Roman"/>
          <w:color w:val="000000"/>
        </w:rPr>
        <w:t xml:space="preserve">, a fim de garantir as prerrogativas constitucionais e republicanas das competências do Poder Legislativo e de se evitar um possível ativismo judicial por parte do Supremo Tribunal Federal. </w:t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right"/>
      </w:pPr>
      <w:r>
        <w:rPr>
          <w:rFonts w:eastAsia="MS Sans Serif" w:cs="Times New Roman"/>
          <w:color w:val="000000"/>
        </w:rPr>
        <w:t xml:space="preserve">Canguçu,25 </w:t>
      </w:r>
      <w:r>
        <w:rPr>
          <w:rFonts w:eastAsia="MS Sans Serif" w:cs="Times New Roman"/>
          <w:color w:val="000000"/>
        </w:rPr>
        <w:t xml:space="preserve">de setembro de 2023</w:t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b/>
          <w:bCs/>
          <w:color w:val="000000"/>
        </w:rPr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b/>
          <w:bCs/>
          <w:color w:val="000000"/>
        </w:rPr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b/>
          <w:bCs/>
          <w:color w:val="000000"/>
        </w:rPr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b/>
          <w:bCs/>
          <w:color w:val="000000"/>
        </w:rPr>
        <w:t xml:space="preserve">Justificativa:</w:t>
      </w:r>
      <w:r>
        <w:rPr>
          <w:rFonts w:eastAsia="MS Sans Serif" w:cs="Times New Roman"/>
          <w:b/>
          <w:bCs/>
          <w:color w:val="000000"/>
        </w:rPr>
      </w:r>
      <w:r/>
    </w:p>
    <w:p>
      <w:pPr>
        <w:pStyle w:val="868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O Veread</w:t>
      </w:r>
      <w:r>
        <w:rPr>
          <w:rFonts w:eastAsia="MS Sans Serif" w:cs="Times New Roman"/>
          <w:color w:val="000000"/>
        </w:rPr>
        <w:t xml:space="preserve">or</w:t>
      </w:r>
      <w:r>
        <w:rPr>
          <w:rFonts w:eastAsia="MS Sans Serif" w:cs="Times New Roman"/>
          <w:color w:val="000000"/>
        </w:rPr>
        <w:t xml:space="preserve">, Oraci de Souza Teixeira </w:t>
      </w:r>
      <w:r>
        <w:rPr>
          <w:rFonts w:eastAsia="MS Sans Serif" w:cs="Times New Roman"/>
          <w:color w:val="000000"/>
        </w:rPr>
        <w:t xml:space="preserve">, </w:t>
      </w:r>
      <w:r>
        <w:rPr>
          <w:rFonts w:eastAsia="MS Sans Serif" w:cs="Times New Roman"/>
          <w:color w:val="000000"/>
        </w:rPr>
        <w:t xml:space="preserve">através da presente M</w:t>
      </w:r>
      <w:r>
        <w:rPr>
          <w:rFonts w:eastAsia="MS Sans Serif" w:cs="Times New Roman"/>
          <w:color w:val="000000"/>
        </w:rPr>
        <w:t xml:space="preserve">oção de </w:t>
      </w:r>
      <w:r>
        <w:rPr>
          <w:rFonts w:eastAsia="MS Sans Serif" w:cs="Times New Roman"/>
          <w:color w:val="000000"/>
        </w:rPr>
        <w:t xml:space="preserve">Apoio</w:t>
      </w:r>
      <w:r>
        <w:rPr>
          <w:rFonts w:eastAsia="MS Sans Serif" w:cs="Times New Roman"/>
          <w:color w:val="000000"/>
        </w:rPr>
        <w:t xml:space="preserve">,</w:t>
      </w:r>
      <w:r>
        <w:rPr>
          <w:rFonts w:eastAsia="MS Sans Serif" w:cs="Times New Roman"/>
          <w:color w:val="000000"/>
        </w:rPr>
        <w:t xml:space="preserve"> buscam</w:t>
      </w:r>
      <w:r>
        <w:rPr>
          <w:rFonts w:eastAsia="MS Sans Serif" w:cs="Times New Roman"/>
          <w:color w:val="000000"/>
        </w:rPr>
        <w:t xml:space="preserve"> impedir a usurpação da competência primária do Poder Legislativo.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Além da defesa do princípio republicano da Separação de Poderes e do sistema de Freios e Contrapesos, consagrados no texto constitucional, est</w:t>
      </w:r>
      <w:r>
        <w:rPr>
          <w:rFonts w:eastAsia="MS Sans Serif" w:cs="Times New Roman"/>
          <w:color w:val="000000"/>
        </w:rPr>
        <w:t xml:space="preserve">a moção é motivada pela tentativa de legislar por vias judiciais matérias a respeito da prática do aborto, conforme consta na ADPF nº 442 – Arguição de Descumprimento de Preceito Fundamental apresentada pelo PSOL ao Supremo Tribunal Federal no sentido de q</w:t>
      </w:r>
      <w:r>
        <w:rPr>
          <w:rFonts w:eastAsia="MS Sans Serif" w:cs="Times New Roman"/>
          <w:color w:val="000000"/>
        </w:rPr>
        <w:t xml:space="preserve">uestionar a recepção pela Constituição Federal </w:t>
      </w:r>
      <w:r>
        <w:rPr>
          <w:rFonts w:eastAsia="MS Sans Serif" w:cs="Times New Roman"/>
          <w:color w:val="000000"/>
        </w:rPr>
        <w:t xml:space="preserve">B</w:t>
      </w:r>
      <w:r>
        <w:rPr>
          <w:rFonts w:eastAsia="MS Sans Serif" w:cs="Times New Roman"/>
          <w:color w:val="000000"/>
        </w:rPr>
        <w:t xml:space="preserve">rasileira dos artigos 124 e 126 do Código Penal, que dispõem sobre o crime do aborto.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Esta </w:t>
      </w:r>
      <w:r>
        <w:rPr>
          <w:rFonts w:eastAsia="MS Sans Serif" w:cs="Times New Roman"/>
          <w:color w:val="000000"/>
        </w:rPr>
        <w:t xml:space="preserve">M</w:t>
      </w:r>
      <w:r>
        <w:rPr>
          <w:rFonts w:eastAsia="MS Sans Serif" w:cs="Times New Roman"/>
          <w:color w:val="000000"/>
        </w:rPr>
        <w:t xml:space="preserve">oção considera também a ofensa mais ampla à vida contida na tese da ADPF 442, que não somente peticiona a legaliza</w:t>
      </w:r>
      <w:r>
        <w:rPr>
          <w:rFonts w:eastAsia="MS Sans Serif" w:cs="Times New Roman"/>
          <w:color w:val="000000"/>
        </w:rPr>
        <w:t xml:space="preserve">ção do aborto até 12 semanas, como também o reconhecimento imediato de um direito constitucional ao aborto durante todas os nove meses da gestação, visto que toda a ação está </w:t>
      </w:r>
      <w:r>
        <w:rPr>
          <w:rFonts w:eastAsia="MS Sans Serif" w:cs="Times New Roman"/>
          <w:color w:val="000000"/>
        </w:rPr>
        <w:t xml:space="preserve">fundamentada no argumento de que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“não há como se imputar direitos fundamenta</w:t>
      </w:r>
      <w:r>
        <w:rPr>
          <w:rFonts w:eastAsia="MS Sans Serif" w:cs="Times New Roman"/>
          <w:b/>
          <w:bCs/>
          <w:i/>
          <w:iCs/>
          <w:color w:val="000000"/>
        </w:rPr>
        <w:t xml:space="preserve">is ao embrião. O estatuto de pessoa só é reconhecido após o nascimento com vida”.</w:t>
      </w:r>
      <w:r>
        <w:rPr>
          <w:rFonts w:eastAsia="MS Sans Serif" w:cs="Times New Roman"/>
          <w:color w:val="000000"/>
        </w:rPr>
        <w:t xml:space="preserve">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A ação afirma que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“a dignidade da pessoa humana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exige mais do que simplesmente o pertencimento à espécie humana para os efeitos protetivos do princípio constituciona</w:t>
      </w:r>
      <w:r>
        <w:rPr>
          <w:rFonts w:eastAsia="MS Sans Serif" w:cs="Times New Roman"/>
          <w:b/>
          <w:bCs/>
          <w:i/>
          <w:iCs/>
          <w:color w:val="000000"/>
        </w:rPr>
        <w:t xml:space="preserve">l.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A ação sustenta ainda que, segundo os Ministros da Corte,</w:t>
      </w:r>
      <w:r>
        <w:rPr>
          <w:rFonts w:eastAsia="MS Sans Serif" w:cs="Times New Roman"/>
          <w:b/>
          <w:bCs/>
          <w:i/>
          <w:iCs/>
          <w:color w:val="000000"/>
        </w:rPr>
        <w:t xml:space="preserve"> “o conteúdo essencial mínimo para a dignidade humana é constituído [1] do valor intrínseco, simplesmente porque se é humano, mas sem o estatuto de pessoa humana, [2] da autonomia, isto é, o rec</w:t>
      </w:r>
      <w:r>
        <w:rPr>
          <w:rFonts w:eastAsia="MS Sans Serif" w:cs="Times New Roman"/>
          <w:b/>
          <w:bCs/>
          <w:i/>
          <w:iCs/>
          <w:color w:val="000000"/>
        </w:rPr>
        <w:t xml:space="preserve">onhecimento de sua capacidade de guiar-se por seu projeto de vida individual, e [3] do valor comunitário.”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Ainda, segundo os ministros da Corte,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“é na interseção entre a dignidade, a autonomia e a cidadania que o sentido de existência digna passa a receb</w:t>
      </w:r>
      <w:r>
        <w:rPr>
          <w:rFonts w:eastAsia="MS Sans Serif" w:cs="Times New Roman"/>
          <w:b/>
          <w:bCs/>
          <w:i/>
          <w:iCs/>
          <w:color w:val="000000"/>
        </w:rPr>
        <w:t xml:space="preserve">er conteúdo concreto. Não há preceitos absolutos em nosso ordenamento constitucional”.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Colocam-se, assim, delimitações totalmente subjetivas e um relativismo tal que estimula o desrespeito à vida humana em geral e não apenas à dos nascituros.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Esta moçã</w:t>
      </w:r>
      <w:r>
        <w:rPr>
          <w:rFonts w:eastAsia="MS Sans Serif" w:cs="Times New Roman"/>
          <w:color w:val="000000"/>
        </w:rPr>
        <w:t xml:space="preserve">o louva de modo especial as recentes manifestações do Excelentíssimo Presidente do Senado, Rodrigo Pacheco, quanto ao julgamento no Supremo Tribunal Federal sobre a descriminalização do porte de drogas para uso da própria pessoa, em que o parlamentar diz q</w:t>
      </w:r>
      <w:r>
        <w:rPr>
          <w:rFonts w:eastAsia="MS Sans Serif" w:cs="Times New Roman"/>
          <w:color w:val="000000"/>
        </w:rPr>
        <w:t xml:space="preserve">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“a decisão do parlamento é a única com legitimidade”</w:t>
      </w:r>
      <w:r>
        <w:rPr>
          <w:rFonts w:eastAsia="MS Sans Serif" w:cs="Times New Roman"/>
          <w:color w:val="000000"/>
        </w:rPr>
        <w:t xml:space="preserve">, trata a possibilidade de ativismo judicial como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“equívoco grave”</w:t>
      </w:r>
      <w:r>
        <w:rPr>
          <w:rFonts w:eastAsia="MS Sans Serif" w:cs="Times New Roman"/>
          <w:color w:val="000000"/>
        </w:rPr>
        <w:t xml:space="preserve"> e</w:t>
      </w:r>
      <w:r>
        <w:rPr>
          <w:rFonts w:eastAsia="MS Sans Serif" w:cs="Times New Roman"/>
          <w:b/>
          <w:bCs/>
          <w:i/>
          <w:iCs/>
          <w:color w:val="000000"/>
        </w:rPr>
        <w:t xml:space="preserve"> “invasão da competência do poder legislativo”,</w:t>
      </w:r>
      <w:r>
        <w:rPr>
          <w:rFonts w:eastAsia="MS Sans Serif" w:cs="Times New Roman"/>
          <w:color w:val="000000"/>
        </w:rPr>
        <w:t xml:space="preserve"> e deixa claro que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“não se pode atribuir ao Congresso Nacional inércia ou omissão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”</w:t>
      </w:r>
      <w:r>
        <w:rPr>
          <w:rFonts w:eastAsia="MS Sans Serif" w:cs="Times New Roman"/>
          <w:color w:val="000000"/>
        </w:rPr>
        <w:t xml:space="preserve">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  <w:t xml:space="preserve">Portanto, pretende-se por meio desta moção manifestar expresso apoio ao Excelentíssimo Presidente do Senado, Rodrigo Pacheco, por sua postura, e reiterar a imensa importância em se garantir as prerrogativas do Congresso Nacional como único legitimado para </w:t>
      </w:r>
      <w:r>
        <w:rPr>
          <w:rFonts w:eastAsia="MS Sans Serif" w:cs="Times New Roman"/>
          <w:color w:val="000000"/>
        </w:rPr>
        <w:t xml:space="preserve">legislar em tudo aquilo que lhe é próprio de sua competência, especialmente acerca da matéria presente no Recurso Extraordinário (RE) 635659, referente ao tema das drogas, e da ADPF 442, atinente ao tema do aborto, observando o que dispõe a Constituição Fe</w:t>
      </w:r>
      <w:r>
        <w:rPr>
          <w:rFonts w:eastAsia="MS Sans Serif" w:cs="Times New Roman"/>
          <w:color w:val="000000"/>
        </w:rPr>
        <w:t xml:space="preserve">deral e lembrando que o Supremo Tribunal Federal tem como função comportar-se como guardião da Carta Magna e não como legislador. </w:t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</w:pPr>
      <w:r>
        <w:rPr>
          <w:rFonts w:eastAsia="MS Sans Serif" w:cs="Times New Roman"/>
          <w:color w:val="000000"/>
        </w:rPr>
      </w:r>
      <w:r>
        <w:rPr>
          <w:rFonts w:eastAsia="MS Sans Serif" w:cs="Times New Roman"/>
          <w:color w:val="000000"/>
        </w:rPr>
      </w:r>
      <w:r/>
    </w:p>
    <w:p>
      <w:pPr>
        <w:pStyle w:val="868"/>
        <w:ind w:firstLine="567"/>
        <w:jc w:val="both"/>
        <w:rPr>
          <w:rFonts w:eastAsia="MS Sans Serif" w:cs="Times New Roman"/>
          <w:b/>
          <w:bCs/>
          <w:i/>
          <w:color w:val="000000"/>
        </w:rPr>
      </w:pPr>
      <w:r>
        <w:rPr>
          <w:rFonts w:eastAsia="MS Sans Serif" w:cs="Times New Roman"/>
          <w:color w:val="000000"/>
        </w:rPr>
        <w:t xml:space="preserve">Por fim, não se pode tampouco desprezar a vontade popular. É do povo, reza o Parágrafo Único do Artigo Primeiro de nossa atu</w:t>
      </w:r>
      <w:r>
        <w:rPr>
          <w:rFonts w:eastAsia="MS Sans Serif" w:cs="Times New Roman"/>
          <w:color w:val="000000"/>
        </w:rPr>
        <w:t xml:space="preserve">al Constituição,</w:t>
      </w:r>
      <w:r>
        <w:rPr>
          <w:rFonts w:eastAsia="MS Sans Serif" w:cs="Times New Roman"/>
          <w:color w:val="000000"/>
        </w:rPr>
        <w:t xml:space="preserve"> que </w:t>
      </w:r>
      <w:r>
        <w:rPr>
          <w:rFonts w:eastAsia="MS Sans Serif" w:cs="Times New Roman"/>
          <w:b/>
          <w:bCs/>
          <w:i/>
          <w:iCs/>
          <w:color w:val="000000"/>
        </w:rPr>
        <w:t xml:space="preserve">“todo poder emana e por meio de cujos representantes se exerce”</w:t>
      </w:r>
      <w:r>
        <w:rPr>
          <w:rFonts w:eastAsia="MS Sans Serif" w:cs="Times New Roman"/>
          <w:color w:val="000000"/>
        </w:rPr>
        <w:t xml:space="preserve"> e do qual, portanto, esta moção se faz voz. Povo que, através de diversas pesquisas feitas por variados institutos, invariavelmente reitera sua posição majoritariamente c</w:t>
      </w:r>
      <w:r>
        <w:rPr>
          <w:rFonts w:eastAsia="MS Sans Serif" w:cs="Times New Roman"/>
          <w:color w:val="000000"/>
        </w:rPr>
        <w:t xml:space="preserve">ontrária ao aborto. A tentativa de avançar a pauta abortista encontrou lugar nas cortes do nosso judiciário justamente como tentativa de evadir a restrição popular manifestada por seus representantes eleitos para legislar e que há décadas barram esforços s</w:t>
      </w:r>
      <w:r>
        <w:rPr>
          <w:rFonts w:eastAsia="MS Sans Serif" w:cs="Times New Roman"/>
          <w:color w:val="000000"/>
        </w:rPr>
        <w:t xml:space="preserve">emelhantes feitos no único foro competente para discussões legislativas, que é o Congresso Nacional. </w:t>
      </w:r>
      <w:r>
        <w:rPr>
          <w:rFonts w:eastAsia="MS Sans Serif" w:cs="Times New Roman"/>
          <w:color w:val="000000"/>
        </w:rPr>
      </w:r>
      <w:r/>
    </w:p>
    <w:p>
      <w:pPr>
        <w:ind w:firstLine="0"/>
        <w:jc w:val="both"/>
        <w:spacing w:before="100" w:beforeAutospacing="1" w:after="100" w:afterAutospacing="1"/>
        <w:shd w:val="clear" w:color="auto" w:fill="ffffff"/>
        <w:rPr>
          <w:sz w:val="20"/>
          <w:szCs w:val="20"/>
          <w:highlight w:val="none"/>
        </w:rPr>
      </w:pPr>
      <w:r>
        <w:rPr>
          <w:rFonts w:ascii="Arial" w:hAnsi="Arial" w:cs="Arial"/>
          <w:b/>
          <w:color w:val="000000"/>
          <w:sz w:val="20"/>
          <w:szCs w:val="20"/>
          <w:highlight w:val="none"/>
          <w:shd w:val="clear" w:color="auto" w:fill="ffffff"/>
        </w:rPr>
      </w:r>
      <w:r>
        <w:rPr>
          <w:sz w:val="20"/>
          <w:szCs w:val="20"/>
          <w:highlight w:val="none"/>
        </w:rPr>
      </w:r>
      <w:r/>
    </w:p>
    <w:p>
      <w:pPr>
        <w:pStyle w:val="876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color w:val="333333"/>
        </w:rPr>
      </w:r>
      <w:r>
        <w:rPr>
          <w:rFonts w:ascii="Arial" w:hAnsi="Arial" w:cs="Arial"/>
          <w:color w:val="333333"/>
        </w:rPr>
      </w:r>
      <w:r/>
    </w:p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</w:pPr>
      <w:r>
        <w:rPr>
          <w:rFonts w:ascii="Arial" w:hAnsi="Arial" w:cs="Arial"/>
          <w:b/>
          <w:color w:val="333333"/>
        </w:rPr>
        <w:t xml:space="preserve">Oraci de Souza Teixeira</w:t>
      </w:r>
      <w:r/>
    </w:p>
    <w:p>
      <w:pPr>
        <w:pStyle w:val="874"/>
        <w:jc w:val="center"/>
        <w:spacing w:before="0" w:beforeAutospacing="0" w:after="0" w:afterAutospacing="0" w:line="336" w:lineRule="atLeast"/>
        <w:shd w:val="clear" w:color="auto" w:fill="ffffff"/>
        <w:rPr>
          <w:highlight w:val="none"/>
        </w:rPr>
      </w:pPr>
      <w:r>
        <w:rPr>
          <w:rFonts w:ascii="Arial" w:hAnsi="Arial" w:cs="Arial"/>
          <w:b/>
          <w:color w:val="333333"/>
        </w:rPr>
      </w:r>
      <w:r>
        <w:rPr>
          <w:rFonts w:ascii="Arial" w:hAnsi="Arial" w:cs="Arial"/>
          <w:color w:val="333333"/>
        </w:rPr>
        <w:t xml:space="preserve">Ver</w:t>
      </w:r>
      <w:r>
        <w:rPr>
          <w:rFonts w:ascii="Arial" w:hAnsi="Arial" w:cs="Arial"/>
          <w:color w:val="333333"/>
        </w:rPr>
        <w:t xml:space="preserve">eador </w:t>
      </w:r>
      <w:r>
        <w:rPr>
          <w:rFonts w:ascii="Arial" w:hAnsi="Arial" w:cs="Arial"/>
          <w:color w:val="333333"/>
        </w:rPr>
        <w:t xml:space="preserve">do PSB</w:t>
      </w:r>
      <w:r/>
    </w:p>
    <w:sectPr>
      <w:headerReference w:type="default" r:id="rId8"/>
      <w:footerReference w:type="default" r:id="rId9"/>
      <w:footnotePr/>
      <w:endnotePr/>
      <w:type w:val="nextPage"/>
      <w:pgSz w:w="11906" w:h="16838" w:orient="portrait"/>
      <w:pgMar w:top="1417" w:right="1701" w:bottom="1417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S Sans Serif">
    <w:panose1 w:val="02000603000000000000"/>
  </w:font>
  <w:font w:name="Gill Sans MT Shadow">
    <w:panose1 w:val="02000603000000000000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20"/>
      <w:jc w:val="left"/>
      <w:rPr>
        <w:b/>
        <w:bCs/>
        <w:highlight w:val="none"/>
      </w:rPr>
    </w:pPr>
    <w:r>
      <w:rPr>
        <w:b/>
      </w:rPr>
      <w:t xml:space="preserve">__________________</w:t>
    </w:r>
    <w:r>
      <w:rPr>
        <w:b/>
      </w:rPr>
      <w:t xml:space="preserve">___________________________________________________</w:t>
    </w:r>
    <w:r/>
  </w:p>
  <w:p>
    <w:pPr>
      <w:pStyle w:val="720"/>
      <w:jc w:val="center"/>
    </w:pPr>
    <w:r>
      <w:rPr>
        <w:b/>
      </w:rPr>
      <w:t xml:space="preserve">“DOE SANGUE, DOE ÓRGÃOS, SALVE UMA VIDA!”</w:t>
    </w:r>
    <w:r>
      <w:rPr>
        <w:b/>
        <w:bCs/>
      </w:rPr>
    </w:r>
    <w:r/>
  </w:p>
  <w:p>
    <w:pPr>
      <w:pStyle w:val="720"/>
    </w:pPr>
    <w:r>
      <w:rPr>
        <w:b/>
        <w:bCs/>
      </w:rPr>
    </w:r>
    <w:r/>
  </w:p>
  <w:p>
    <w:pPr>
      <w:pStyle w:val="720"/>
      <w:rPr>
        <w:b/>
        <w:bCs/>
      </w:rPr>
    </w:pPr>
    <w:r>
      <w:rPr>
        <w:b/>
        <w:bCs/>
      </w:rPr>
    </w:r>
    <w:r/>
  </w:p>
  <w:p>
    <w:pPr>
      <w:pStyle w:val="720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right="709"/>
      <w:jc w:val="center"/>
    </w:pPr>
    <w:r>
      <w:t xml:space="preserve">   </w:t>
    </w:r>
    <w: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_x0000_i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50403753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3899" cy="742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8.5pt;mso-wrap-distance-left:0.0pt;mso-wrap-distance-top:0.0pt;mso-wrap-distance-right:0.0pt;mso-wrap-distance-bottom:0.0pt;" stroked="f">
              <v:path textboxrect="0,0,0,0"/>
              <v:imagedata r:id="rId1" o:title=""/>
            </v:shape>
          </w:pict>
        </mc:Fallback>
      </mc:AlternateContent>
    </w:r>
    <w:r/>
  </w:p>
  <w:p>
    <w:pPr>
      <w:ind w:right="709"/>
      <w:jc w:val="center"/>
    </w:pPr>
    <w:r>
      <w:rPr>
        <w:rFonts w:ascii="Gill Sans MT Shadow" w:hAnsi="Gill Sans MT Shadow"/>
        <w:sz w:val="24"/>
      </w:rPr>
      <w:t xml:space="preserve">       CÂMARA MUNICIPAL DE CANGUÇU</w:t>
    </w:r>
    <w:r/>
  </w:p>
  <w:p>
    <w:pPr>
      <w:ind w:right="709"/>
      <w:jc w:val="center"/>
    </w:pPr>
    <w:r>
      <w:t xml:space="preserve">            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>
    <w:name w:val="Heading 1"/>
    <w:basedOn w:val="868"/>
    <w:next w:val="868"/>
    <w:link w:val="69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93">
    <w:name w:val="Heading 1 Char"/>
    <w:link w:val="692"/>
    <w:uiPriority w:val="9"/>
    <w:rPr>
      <w:rFonts w:ascii="Arial" w:hAnsi="Arial" w:eastAsia="Arial" w:cs="Arial"/>
      <w:sz w:val="40"/>
      <w:szCs w:val="40"/>
    </w:rPr>
  </w:style>
  <w:style w:type="paragraph" w:styleId="694">
    <w:name w:val="Heading 2"/>
    <w:basedOn w:val="868"/>
    <w:next w:val="868"/>
    <w:link w:val="69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95">
    <w:name w:val="Heading 2 Char"/>
    <w:link w:val="694"/>
    <w:uiPriority w:val="9"/>
    <w:rPr>
      <w:rFonts w:ascii="Arial" w:hAnsi="Arial" w:eastAsia="Arial" w:cs="Arial"/>
      <w:sz w:val="34"/>
    </w:rPr>
  </w:style>
  <w:style w:type="paragraph" w:styleId="696">
    <w:name w:val="Heading 3"/>
    <w:basedOn w:val="868"/>
    <w:next w:val="868"/>
    <w:link w:val="69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97">
    <w:name w:val="Heading 3 Char"/>
    <w:link w:val="696"/>
    <w:uiPriority w:val="9"/>
    <w:rPr>
      <w:rFonts w:ascii="Arial" w:hAnsi="Arial" w:eastAsia="Arial" w:cs="Arial"/>
      <w:sz w:val="30"/>
      <w:szCs w:val="30"/>
    </w:rPr>
  </w:style>
  <w:style w:type="paragraph" w:styleId="698">
    <w:name w:val="Heading 4"/>
    <w:basedOn w:val="868"/>
    <w:next w:val="868"/>
    <w:link w:val="69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99">
    <w:name w:val="Heading 4 Char"/>
    <w:link w:val="698"/>
    <w:uiPriority w:val="9"/>
    <w:rPr>
      <w:rFonts w:ascii="Arial" w:hAnsi="Arial" w:eastAsia="Arial" w:cs="Arial"/>
      <w:b/>
      <w:bCs/>
      <w:sz w:val="26"/>
      <w:szCs w:val="26"/>
    </w:rPr>
  </w:style>
  <w:style w:type="paragraph" w:styleId="700">
    <w:name w:val="Heading 5"/>
    <w:basedOn w:val="868"/>
    <w:next w:val="868"/>
    <w:link w:val="70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01">
    <w:name w:val="Heading 5 Char"/>
    <w:link w:val="700"/>
    <w:uiPriority w:val="9"/>
    <w:rPr>
      <w:rFonts w:ascii="Arial" w:hAnsi="Arial" w:eastAsia="Arial" w:cs="Arial"/>
      <w:b/>
      <w:bCs/>
      <w:sz w:val="24"/>
      <w:szCs w:val="24"/>
    </w:rPr>
  </w:style>
  <w:style w:type="paragraph" w:styleId="702">
    <w:name w:val="Heading 6"/>
    <w:basedOn w:val="868"/>
    <w:next w:val="868"/>
    <w:link w:val="70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03">
    <w:name w:val="Heading 6 Char"/>
    <w:link w:val="702"/>
    <w:uiPriority w:val="9"/>
    <w:rPr>
      <w:rFonts w:ascii="Arial" w:hAnsi="Arial" w:eastAsia="Arial" w:cs="Arial"/>
      <w:b/>
      <w:bCs/>
      <w:sz w:val="22"/>
      <w:szCs w:val="22"/>
    </w:rPr>
  </w:style>
  <w:style w:type="paragraph" w:styleId="704">
    <w:name w:val="Heading 7"/>
    <w:basedOn w:val="868"/>
    <w:next w:val="868"/>
    <w:link w:val="70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7 Char"/>
    <w:link w:val="70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06">
    <w:name w:val="Heading 8"/>
    <w:basedOn w:val="868"/>
    <w:next w:val="868"/>
    <w:link w:val="70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07">
    <w:name w:val="Heading 8 Char"/>
    <w:link w:val="706"/>
    <w:uiPriority w:val="9"/>
    <w:rPr>
      <w:rFonts w:ascii="Arial" w:hAnsi="Arial" w:eastAsia="Arial" w:cs="Arial"/>
      <w:i/>
      <w:iCs/>
      <w:sz w:val="22"/>
      <w:szCs w:val="22"/>
    </w:rPr>
  </w:style>
  <w:style w:type="paragraph" w:styleId="708">
    <w:name w:val="Heading 9"/>
    <w:basedOn w:val="868"/>
    <w:next w:val="868"/>
    <w:link w:val="70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9">
    <w:name w:val="Heading 9 Char"/>
    <w:link w:val="708"/>
    <w:uiPriority w:val="9"/>
    <w:rPr>
      <w:rFonts w:ascii="Arial" w:hAnsi="Arial" w:eastAsia="Arial" w:cs="Arial"/>
      <w:i/>
      <w:iCs/>
      <w:sz w:val="21"/>
      <w:szCs w:val="21"/>
    </w:rPr>
  </w:style>
  <w:style w:type="paragraph" w:styleId="710">
    <w:name w:val="Title"/>
    <w:basedOn w:val="868"/>
    <w:next w:val="868"/>
    <w:link w:val="71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1">
    <w:name w:val="Title Char"/>
    <w:link w:val="710"/>
    <w:uiPriority w:val="10"/>
    <w:rPr>
      <w:sz w:val="48"/>
      <w:szCs w:val="48"/>
    </w:rPr>
  </w:style>
  <w:style w:type="paragraph" w:styleId="712">
    <w:name w:val="Subtitle"/>
    <w:basedOn w:val="868"/>
    <w:next w:val="868"/>
    <w:link w:val="713"/>
    <w:uiPriority w:val="11"/>
    <w:qFormat/>
    <w:pPr>
      <w:spacing w:before="200" w:after="200"/>
    </w:pPr>
    <w:rPr>
      <w:sz w:val="24"/>
      <w:szCs w:val="24"/>
    </w:rPr>
  </w:style>
  <w:style w:type="character" w:styleId="713">
    <w:name w:val="Subtitle Char"/>
    <w:link w:val="712"/>
    <w:uiPriority w:val="11"/>
    <w:rPr>
      <w:sz w:val="24"/>
      <w:szCs w:val="24"/>
    </w:rPr>
  </w:style>
  <w:style w:type="paragraph" w:styleId="714">
    <w:name w:val="Quote"/>
    <w:basedOn w:val="868"/>
    <w:next w:val="868"/>
    <w:link w:val="715"/>
    <w:uiPriority w:val="29"/>
    <w:qFormat/>
    <w:pPr>
      <w:ind w:left="720" w:right="720"/>
    </w:pPr>
    <w:rPr>
      <w:i/>
    </w:rPr>
  </w:style>
  <w:style w:type="character" w:styleId="715">
    <w:name w:val="Quote Char"/>
    <w:link w:val="714"/>
    <w:uiPriority w:val="29"/>
    <w:rPr>
      <w:i/>
    </w:rPr>
  </w:style>
  <w:style w:type="paragraph" w:styleId="716">
    <w:name w:val="Intense Quote"/>
    <w:basedOn w:val="868"/>
    <w:next w:val="868"/>
    <w:link w:val="71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7">
    <w:name w:val="Intense Quote Char"/>
    <w:link w:val="716"/>
    <w:uiPriority w:val="30"/>
    <w:rPr>
      <w:i/>
    </w:rPr>
  </w:style>
  <w:style w:type="paragraph" w:styleId="718">
    <w:name w:val="Header"/>
    <w:basedOn w:val="868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9">
    <w:name w:val="Header Char"/>
    <w:link w:val="718"/>
    <w:uiPriority w:val="99"/>
  </w:style>
  <w:style w:type="paragraph" w:styleId="720">
    <w:name w:val="Footer"/>
    <w:basedOn w:val="868"/>
    <w:link w:val="72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21">
    <w:name w:val="Footer Char"/>
    <w:link w:val="720"/>
    <w:uiPriority w:val="99"/>
  </w:style>
  <w:style w:type="paragraph" w:styleId="722">
    <w:name w:val="Caption"/>
    <w:basedOn w:val="868"/>
    <w:next w:val="86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3">
    <w:name w:val="Caption Char"/>
    <w:basedOn w:val="722"/>
    <w:link w:val="720"/>
    <w:uiPriority w:val="99"/>
  </w:style>
  <w:style w:type="table" w:styleId="724">
    <w:name w:val="Table Grid"/>
    <w:basedOn w:val="86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5">
    <w:name w:val="Table Grid Light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26">
    <w:name w:val="Plain Table 1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7">
    <w:name w:val="Plain Table 2"/>
    <w:basedOn w:val="86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8">
    <w:name w:val="Plain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9">
    <w:name w:val="Plain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>
    <w:name w:val="Plain Table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1">
    <w:name w:val="Grid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>
    <w:name w:val="Grid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4">
    <w:name w:val="Grid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>
    <w:name w:val="Grid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>
    <w:name w:val="Grid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>
    <w:name w:val="Grid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>
    <w:name w:val="Grid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3">
    <w:name w:val="Grid Table 4 - Accent 1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54">
    <w:name w:val="Grid Table 4 - Accent 2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55">
    <w:name w:val="Grid Table 4 - Accent 3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56">
    <w:name w:val="Grid Table 4 - Accent 4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57">
    <w:name w:val="Grid Table 4 - Accent 5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58">
    <w:name w:val="Grid Table 4 - Accent 6"/>
    <w:basedOn w:val="86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59">
    <w:name w:val="Grid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0">
    <w:name w:val="Grid Table 5 Dark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61">
    <w:name w:val="Grid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62">
    <w:name w:val="Grid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63">
    <w:name w:val="Grid Table 5 Dark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64">
    <w:name w:val="Grid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65">
    <w:name w:val="Grid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68">
    <w:name w:val="Grid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69">
    <w:name w:val="Grid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70">
    <w:name w:val="Grid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71">
    <w:name w:val="Grid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2">
    <w:name w:val="Grid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73">
    <w:name w:val="Grid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Grid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Grid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Grid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1 Light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List Table 1 Light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1 Light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List Table 1 Light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List Table 1 Light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List Table 1 Light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List Table 1 Light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List Table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88">
    <w:name w:val="List Table 2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89">
    <w:name w:val="List Table 2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90">
    <w:name w:val="List Table 2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91">
    <w:name w:val="List Table 2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92">
    <w:name w:val="List Table 2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93">
    <w:name w:val="List Table 2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94">
    <w:name w:val="List Table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3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3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3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3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3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List Table 3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List Table 4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4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List Table 4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>
    <w:name w:val="List Table 4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>
    <w:name w:val="List Table 4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List Table 5 Dark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9">
    <w:name w:val="List Table 5 Dark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0">
    <w:name w:val="List Table 5 Dark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1">
    <w:name w:val="List Table 5 Dark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2">
    <w:name w:val="List Table 5 Dark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3">
    <w:name w:val="List Table 5 Dark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4">
    <w:name w:val="List Table 5 Dark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15">
    <w:name w:val="List Table 6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16">
    <w:name w:val="List Table 6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17">
    <w:name w:val="List Table 6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18">
    <w:name w:val="List Table 6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19">
    <w:name w:val="List Table 6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20">
    <w:name w:val="List Table 6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21">
    <w:name w:val="List Table 6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22">
    <w:name w:val="List Table 7 Colorful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23">
    <w:name w:val="List Table 7 Colorful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24">
    <w:name w:val="List Table 7 Colorful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25">
    <w:name w:val="List Table 7 Colorful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26">
    <w:name w:val="List Table 7 Colorful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27">
    <w:name w:val="List Table 7 Colorful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28">
    <w:name w:val="List Table 7 Colorful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29">
    <w:name w:val="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0">
    <w:name w:val="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1">
    <w:name w:val="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2">
    <w:name w:val="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33">
    <w:name w:val="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34">
    <w:name w:val="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35">
    <w:name w:val="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36">
    <w:name w:val="Bordered &amp; Lined - Accent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37">
    <w:name w:val="Bordered &amp; Lined - Accent 1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38">
    <w:name w:val="Bordered &amp; Lined - Accent 2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39">
    <w:name w:val="Bordered &amp; Lined - Accent 3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40">
    <w:name w:val="Bordered &amp; Lined - Accent 4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41">
    <w:name w:val="Bordered &amp; Lined - Accent 5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42">
    <w:name w:val="Bordered &amp; Lined - Accent 6"/>
    <w:basedOn w:val="86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43">
    <w:name w:val="Bordered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44">
    <w:name w:val="Bordered - Accent 1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45">
    <w:name w:val="Bordered - Accent 2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46">
    <w:name w:val="Bordered - Accent 3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47">
    <w:name w:val="Bordered - Accent 4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48">
    <w:name w:val="Bordered - Accent 5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49">
    <w:name w:val="Bordered - Accent 6"/>
    <w:basedOn w:val="86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50">
    <w:name w:val="Hyperlink"/>
    <w:uiPriority w:val="99"/>
    <w:unhideWhenUsed/>
    <w:rPr>
      <w:color w:val="0000ff" w:themeColor="hyperlink"/>
      <w:u w:val="single"/>
    </w:rPr>
  </w:style>
  <w:style w:type="paragraph" w:styleId="851">
    <w:name w:val="footnote text"/>
    <w:basedOn w:val="868"/>
    <w:link w:val="852"/>
    <w:uiPriority w:val="99"/>
    <w:semiHidden/>
    <w:unhideWhenUsed/>
    <w:pPr>
      <w:spacing w:after="40" w:line="240" w:lineRule="auto"/>
    </w:pPr>
    <w:rPr>
      <w:sz w:val="18"/>
    </w:rPr>
  </w:style>
  <w:style w:type="character" w:styleId="852">
    <w:name w:val="Footnote Text Char"/>
    <w:link w:val="851"/>
    <w:uiPriority w:val="99"/>
    <w:rPr>
      <w:sz w:val="18"/>
    </w:rPr>
  </w:style>
  <w:style w:type="character" w:styleId="853">
    <w:name w:val="footnote reference"/>
    <w:uiPriority w:val="99"/>
    <w:unhideWhenUsed/>
    <w:rPr>
      <w:vertAlign w:val="superscript"/>
    </w:rPr>
  </w:style>
  <w:style w:type="paragraph" w:styleId="854">
    <w:name w:val="endnote text"/>
    <w:basedOn w:val="868"/>
    <w:link w:val="855"/>
    <w:uiPriority w:val="99"/>
    <w:semiHidden/>
    <w:unhideWhenUsed/>
    <w:pPr>
      <w:spacing w:after="0" w:line="240" w:lineRule="auto"/>
    </w:pPr>
    <w:rPr>
      <w:sz w:val="20"/>
    </w:rPr>
  </w:style>
  <w:style w:type="character" w:styleId="855">
    <w:name w:val="Endnote Text Char"/>
    <w:link w:val="854"/>
    <w:uiPriority w:val="99"/>
    <w:rPr>
      <w:sz w:val="20"/>
    </w:rPr>
  </w:style>
  <w:style w:type="character" w:styleId="856">
    <w:name w:val="endnote reference"/>
    <w:uiPriority w:val="99"/>
    <w:semiHidden/>
    <w:unhideWhenUsed/>
    <w:rPr>
      <w:vertAlign w:val="superscript"/>
    </w:rPr>
  </w:style>
  <w:style w:type="paragraph" w:styleId="857">
    <w:name w:val="toc 1"/>
    <w:basedOn w:val="868"/>
    <w:next w:val="868"/>
    <w:uiPriority w:val="39"/>
    <w:unhideWhenUsed/>
    <w:pPr>
      <w:ind w:left="0" w:right="0" w:firstLine="0"/>
      <w:spacing w:after="57"/>
    </w:pPr>
  </w:style>
  <w:style w:type="paragraph" w:styleId="858">
    <w:name w:val="toc 2"/>
    <w:basedOn w:val="868"/>
    <w:next w:val="868"/>
    <w:uiPriority w:val="39"/>
    <w:unhideWhenUsed/>
    <w:pPr>
      <w:ind w:left="283" w:right="0" w:firstLine="0"/>
      <w:spacing w:after="57"/>
    </w:pPr>
  </w:style>
  <w:style w:type="paragraph" w:styleId="859">
    <w:name w:val="toc 3"/>
    <w:basedOn w:val="868"/>
    <w:next w:val="868"/>
    <w:uiPriority w:val="39"/>
    <w:unhideWhenUsed/>
    <w:pPr>
      <w:ind w:left="567" w:right="0" w:firstLine="0"/>
      <w:spacing w:after="57"/>
    </w:pPr>
  </w:style>
  <w:style w:type="paragraph" w:styleId="860">
    <w:name w:val="toc 4"/>
    <w:basedOn w:val="868"/>
    <w:next w:val="868"/>
    <w:uiPriority w:val="39"/>
    <w:unhideWhenUsed/>
    <w:pPr>
      <w:ind w:left="850" w:right="0" w:firstLine="0"/>
      <w:spacing w:after="57"/>
    </w:pPr>
  </w:style>
  <w:style w:type="paragraph" w:styleId="861">
    <w:name w:val="toc 5"/>
    <w:basedOn w:val="868"/>
    <w:next w:val="868"/>
    <w:uiPriority w:val="39"/>
    <w:unhideWhenUsed/>
    <w:pPr>
      <w:ind w:left="1134" w:right="0" w:firstLine="0"/>
      <w:spacing w:after="57"/>
    </w:pPr>
  </w:style>
  <w:style w:type="paragraph" w:styleId="862">
    <w:name w:val="toc 6"/>
    <w:basedOn w:val="868"/>
    <w:next w:val="868"/>
    <w:uiPriority w:val="39"/>
    <w:unhideWhenUsed/>
    <w:pPr>
      <w:ind w:left="1417" w:right="0" w:firstLine="0"/>
      <w:spacing w:after="57"/>
    </w:pPr>
  </w:style>
  <w:style w:type="paragraph" w:styleId="863">
    <w:name w:val="toc 7"/>
    <w:basedOn w:val="868"/>
    <w:next w:val="868"/>
    <w:uiPriority w:val="39"/>
    <w:unhideWhenUsed/>
    <w:pPr>
      <w:ind w:left="1701" w:right="0" w:firstLine="0"/>
      <w:spacing w:after="57"/>
    </w:pPr>
  </w:style>
  <w:style w:type="paragraph" w:styleId="864">
    <w:name w:val="toc 8"/>
    <w:basedOn w:val="868"/>
    <w:next w:val="868"/>
    <w:uiPriority w:val="39"/>
    <w:unhideWhenUsed/>
    <w:pPr>
      <w:ind w:left="1984" w:right="0" w:firstLine="0"/>
      <w:spacing w:after="57"/>
    </w:pPr>
  </w:style>
  <w:style w:type="paragraph" w:styleId="865">
    <w:name w:val="toc 9"/>
    <w:basedOn w:val="868"/>
    <w:next w:val="868"/>
    <w:uiPriority w:val="39"/>
    <w:unhideWhenUsed/>
    <w:pPr>
      <w:ind w:left="2268" w:right="0" w:firstLine="0"/>
      <w:spacing w:after="57"/>
    </w:pPr>
  </w:style>
  <w:style w:type="paragraph" w:styleId="866">
    <w:name w:val="TOC Heading"/>
    <w:uiPriority w:val="39"/>
    <w:unhideWhenUsed/>
  </w:style>
  <w:style w:type="paragraph" w:styleId="867">
    <w:name w:val="table of figures"/>
    <w:basedOn w:val="868"/>
    <w:next w:val="868"/>
    <w:uiPriority w:val="99"/>
    <w:unhideWhenUsed/>
    <w:pPr>
      <w:spacing w:after="0" w:afterAutospacing="0"/>
    </w:pPr>
  </w:style>
  <w:style w:type="paragraph" w:styleId="868" w:default="1">
    <w:name w:val="Normal"/>
    <w:qFormat/>
  </w:style>
  <w:style w:type="table" w:styleId="86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0" w:default="1">
    <w:name w:val="No List"/>
    <w:uiPriority w:val="99"/>
    <w:semiHidden/>
    <w:unhideWhenUsed/>
  </w:style>
  <w:style w:type="paragraph" w:styleId="871">
    <w:name w:val="No Spacing"/>
    <w:basedOn w:val="868"/>
    <w:uiPriority w:val="1"/>
    <w:qFormat/>
    <w:pPr>
      <w:spacing w:after="0" w:line="240" w:lineRule="auto"/>
    </w:pPr>
  </w:style>
  <w:style w:type="paragraph" w:styleId="872">
    <w:name w:val="List Paragraph"/>
    <w:basedOn w:val="868"/>
    <w:uiPriority w:val="34"/>
    <w:qFormat/>
    <w:pPr>
      <w:contextualSpacing/>
      <w:ind w:left="720"/>
    </w:pPr>
  </w:style>
  <w:style w:type="character" w:styleId="873" w:default="1">
    <w:name w:val="Default Paragraph Font"/>
    <w:uiPriority w:val="1"/>
    <w:semiHidden/>
    <w:unhideWhenUsed/>
  </w:style>
  <w:style w:type="paragraph" w:styleId="874" w:customStyle="1">
    <w:name w:val="Normal (Web)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  <w:style w:type="paragraph" w:styleId="875" w:customStyle="1">
    <w:name w:val="Cabeçalho1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tabs>
        <w:tab w:val="center" w:pos="4320" w:leader="none"/>
        <w:tab w:val="right" w:pos="8640" w:leader="none"/>
      </w:tabs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/>
    </w:pPr>
    <w:rPr>
      <w:rFonts w:ascii="Times New Roman" w:hAnsi="Times New Roman" w:eastAsia="Times New Roman" w:cs="Times New Roman"/>
      <w:color w:val="auto"/>
      <w:spacing w:val="0"/>
      <w:position w:val="0"/>
      <w:sz w:val="20"/>
      <w:szCs w:val="20"/>
      <w:highlight w:val="none"/>
      <w:u w:val="none"/>
      <w:vertAlign w:val="baseline"/>
      <w:lang w:val="pt-BR" w:eastAsia="pt-BR" w:bidi="ar-SA"/>
      <w14:ligatures w14:val="none"/>
    </w:rPr>
  </w:style>
  <w:style w:type="paragraph" w:styleId="876" w:customStyle="1">
    <w:name w:val="Normal (Web)1"/>
    <w:uiPriority w:val="99"/>
    <w:unhideWhenUsed/>
    <w:pPr>
      <w:contextualSpacing w:val="0"/>
      <w:ind w:left="0" w:right="0" w:firstLine="0"/>
      <w:jc w:val="left"/>
      <w:keepLines w:val="0"/>
      <w:keepNext w:val="0"/>
      <w:pageBreakBefore w:val="0"/>
      <w:spacing w:before="100" w:beforeAutospacing="1" w:after="100" w:afterAutospacing="1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color w:val="auto"/>
      <w:spacing w:val="0"/>
      <w:position w:val="0"/>
      <w:sz w:val="24"/>
      <w:szCs w:val="24"/>
      <w:highlight w:val="none"/>
      <w:u w:val="none"/>
      <w:vertAlign w:val="baseline"/>
      <w:lang w:val="pt-BR" w:eastAsia="pt-BR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revision>8</cp:revision>
  <dcterms:created xsi:type="dcterms:W3CDTF">2017-12-12T08:30:00Z</dcterms:created>
  <dcterms:modified xsi:type="dcterms:W3CDTF">2023-09-25T13:16:44Z</dcterms:modified>
</cp:coreProperties>
</file>