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D9572" w14:textId="2461D4AF" w:rsidR="00A029A0" w:rsidRPr="00497427" w:rsidRDefault="00A029A0" w:rsidP="005541D0">
      <w:pPr>
        <w:spacing w:after="120"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497427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5E3914C7" w14:textId="77777777" w:rsidR="00F24638" w:rsidRPr="00497427" w:rsidRDefault="00F24638" w:rsidP="005541D0">
      <w:pPr>
        <w:spacing w:after="120"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251BD594" w14:textId="2D5A548F" w:rsidR="00F24638" w:rsidRPr="003E4F05" w:rsidRDefault="00F24638" w:rsidP="00F24638">
      <w:pPr>
        <w:pStyle w:val="Corpodetexto"/>
        <w:ind w:left="269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E4F05">
        <w:rPr>
          <w:rFonts w:asciiTheme="minorHAnsi" w:hAnsiTheme="minorHAnsi" w:cstheme="minorHAnsi"/>
          <w:b/>
          <w:bCs/>
          <w:sz w:val="24"/>
          <w:szCs w:val="24"/>
        </w:rPr>
        <w:t>DISP</w:t>
      </w:r>
      <w:r w:rsidR="002B0E02" w:rsidRPr="003E4F05">
        <w:rPr>
          <w:rFonts w:asciiTheme="minorHAnsi" w:hAnsiTheme="minorHAnsi" w:cstheme="minorHAnsi"/>
          <w:b/>
          <w:bCs/>
          <w:sz w:val="24"/>
          <w:szCs w:val="24"/>
        </w:rPr>
        <w:t>ÕE</w:t>
      </w:r>
      <w:r w:rsidRPr="003E4F05">
        <w:rPr>
          <w:rFonts w:asciiTheme="minorHAnsi" w:hAnsiTheme="minorHAnsi" w:cstheme="minorHAnsi"/>
          <w:b/>
          <w:bCs/>
          <w:sz w:val="24"/>
          <w:szCs w:val="24"/>
        </w:rPr>
        <w:t xml:space="preserve"> SOBRE A OBRIGATORIEDADE D</w:t>
      </w:r>
      <w:r w:rsidR="002B0E02" w:rsidRPr="003E4F05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r w:rsidRPr="003E4F05">
        <w:rPr>
          <w:rFonts w:asciiTheme="minorHAnsi" w:hAnsiTheme="minorHAnsi" w:cstheme="minorHAnsi"/>
          <w:b/>
          <w:bCs/>
          <w:sz w:val="24"/>
          <w:szCs w:val="24"/>
        </w:rPr>
        <w:t>OS ESTABELECIMENTOS COMERCIAIS AFIXAREM PLACAS INFORMATIVAS ACERCA DA DATA DE VALIDADE.</w:t>
      </w:r>
    </w:p>
    <w:p w14:paraId="5D5DEF9A" w14:textId="77777777" w:rsidR="00F24638" w:rsidRPr="002B0E02" w:rsidRDefault="00F24638" w:rsidP="005541D0">
      <w:pPr>
        <w:spacing w:after="120" w:line="240" w:lineRule="auto"/>
        <w:ind w:firstLine="1418"/>
        <w:jc w:val="both"/>
        <w:rPr>
          <w:rFonts w:cstheme="minorHAnsi"/>
          <w:sz w:val="24"/>
          <w:szCs w:val="24"/>
          <w:lang w:val="pt-PT"/>
        </w:rPr>
      </w:pPr>
    </w:p>
    <w:p w14:paraId="495C9410" w14:textId="0ED0675A" w:rsidR="00E6515F" w:rsidRPr="00FD30B4" w:rsidRDefault="00863E7D" w:rsidP="005541D0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FD30B4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49EF3EC5" w14:textId="77777777" w:rsidR="00F24638" w:rsidRDefault="00F24638" w:rsidP="005541D0">
      <w:pPr>
        <w:spacing w:after="120" w:line="240" w:lineRule="auto"/>
        <w:ind w:firstLine="1418"/>
        <w:rPr>
          <w:rFonts w:cstheme="minorHAnsi"/>
          <w:b/>
          <w:bCs/>
          <w:sz w:val="24"/>
          <w:szCs w:val="24"/>
        </w:rPr>
      </w:pPr>
    </w:p>
    <w:p w14:paraId="4AB9ECC2" w14:textId="77BDDDB4" w:rsidR="005803A5" w:rsidRDefault="005803A5" w:rsidP="005541D0">
      <w:pPr>
        <w:spacing w:after="120" w:line="240" w:lineRule="auto"/>
        <w:ind w:firstLine="1418"/>
        <w:rPr>
          <w:rFonts w:cstheme="minorHAnsi"/>
          <w:b/>
          <w:bCs/>
          <w:sz w:val="24"/>
          <w:szCs w:val="24"/>
        </w:rPr>
      </w:pPr>
      <w:r w:rsidRPr="00FD30B4">
        <w:rPr>
          <w:rFonts w:cstheme="minorHAnsi"/>
          <w:b/>
          <w:bCs/>
          <w:sz w:val="24"/>
          <w:szCs w:val="24"/>
        </w:rPr>
        <w:t>APROVA:</w:t>
      </w:r>
    </w:p>
    <w:p w14:paraId="363AF5CB" w14:textId="77777777" w:rsidR="00F24638" w:rsidRDefault="00F24638" w:rsidP="005541D0">
      <w:pPr>
        <w:spacing w:after="120" w:line="240" w:lineRule="auto"/>
        <w:ind w:firstLine="1418"/>
        <w:rPr>
          <w:rFonts w:cstheme="minorHAnsi"/>
          <w:b/>
          <w:bCs/>
          <w:sz w:val="24"/>
          <w:szCs w:val="24"/>
        </w:rPr>
      </w:pPr>
    </w:p>
    <w:p w14:paraId="0C09B8EC" w14:textId="6845E6F4" w:rsidR="00F24638" w:rsidRPr="00F24638" w:rsidRDefault="00F24638" w:rsidP="00544167">
      <w:pPr>
        <w:pStyle w:val="Corpodetex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24638">
        <w:rPr>
          <w:rFonts w:asciiTheme="minorHAnsi" w:hAnsiTheme="minorHAnsi" w:cstheme="minorHAnsi"/>
          <w:b/>
          <w:bCs/>
          <w:sz w:val="24"/>
          <w:szCs w:val="24"/>
        </w:rPr>
        <w:t>Art. 1º</w:t>
      </w:r>
      <w:r w:rsidRPr="00F24638">
        <w:rPr>
          <w:rFonts w:asciiTheme="minorHAnsi" w:hAnsiTheme="minorHAnsi" w:cstheme="minorHAnsi"/>
          <w:sz w:val="24"/>
          <w:szCs w:val="24"/>
        </w:rPr>
        <w:t xml:space="preserve"> </w:t>
      </w:r>
      <w:r w:rsidR="002B0E02">
        <w:rPr>
          <w:rFonts w:asciiTheme="minorHAnsi" w:hAnsiTheme="minorHAnsi" w:cstheme="minorHAnsi"/>
          <w:sz w:val="24"/>
          <w:szCs w:val="24"/>
        </w:rPr>
        <w:t>Ficam a</w:t>
      </w:r>
      <w:r w:rsidRPr="00F24638">
        <w:rPr>
          <w:rFonts w:asciiTheme="minorHAnsi" w:hAnsiTheme="minorHAnsi" w:cstheme="minorHAnsi"/>
          <w:sz w:val="24"/>
          <w:szCs w:val="24"/>
        </w:rPr>
        <w:t>crescenta</w:t>
      </w:r>
      <w:r w:rsidR="002B0E02">
        <w:rPr>
          <w:rFonts w:asciiTheme="minorHAnsi" w:hAnsiTheme="minorHAnsi" w:cstheme="minorHAnsi"/>
          <w:sz w:val="24"/>
          <w:szCs w:val="24"/>
        </w:rPr>
        <w:t>dos</w:t>
      </w:r>
      <w:r w:rsidRPr="00F24638">
        <w:rPr>
          <w:rFonts w:asciiTheme="minorHAnsi" w:hAnsiTheme="minorHAnsi" w:cstheme="minorHAnsi"/>
          <w:sz w:val="24"/>
          <w:szCs w:val="24"/>
        </w:rPr>
        <w:t xml:space="preserve"> </w:t>
      </w:r>
      <w:r w:rsidR="002B0E02">
        <w:rPr>
          <w:rFonts w:asciiTheme="minorHAnsi" w:hAnsiTheme="minorHAnsi" w:cstheme="minorHAnsi"/>
          <w:sz w:val="24"/>
          <w:szCs w:val="24"/>
        </w:rPr>
        <w:t>os §§1º e 2º ao A</w:t>
      </w:r>
      <w:r w:rsidRPr="00F24638">
        <w:rPr>
          <w:rFonts w:asciiTheme="minorHAnsi" w:hAnsiTheme="minorHAnsi" w:cstheme="minorHAnsi"/>
          <w:sz w:val="24"/>
          <w:szCs w:val="24"/>
        </w:rPr>
        <w:t xml:space="preserve">rt. 38 da Lei </w:t>
      </w:r>
      <w:r w:rsidR="002B0E02">
        <w:rPr>
          <w:rFonts w:asciiTheme="minorHAnsi" w:hAnsiTheme="minorHAnsi" w:cstheme="minorHAnsi"/>
          <w:sz w:val="24"/>
          <w:szCs w:val="24"/>
        </w:rPr>
        <w:t xml:space="preserve">Municipal </w:t>
      </w:r>
      <w:r w:rsidRPr="00F24638">
        <w:rPr>
          <w:rFonts w:asciiTheme="minorHAnsi" w:hAnsiTheme="minorHAnsi" w:cstheme="minorHAnsi"/>
          <w:sz w:val="24"/>
          <w:szCs w:val="24"/>
        </w:rPr>
        <w:t>nº 2.990/1998</w:t>
      </w:r>
      <w:r w:rsidR="008269C2">
        <w:rPr>
          <w:rFonts w:asciiTheme="minorHAnsi" w:hAnsiTheme="minorHAnsi" w:cstheme="minorHAnsi"/>
          <w:sz w:val="24"/>
          <w:szCs w:val="24"/>
        </w:rPr>
        <w:t>,</w:t>
      </w:r>
      <w:r w:rsidRPr="00F24638">
        <w:rPr>
          <w:rFonts w:asciiTheme="minorHAnsi" w:hAnsiTheme="minorHAnsi" w:cstheme="minorHAnsi"/>
          <w:sz w:val="24"/>
          <w:szCs w:val="24"/>
        </w:rPr>
        <w:t xml:space="preserve"> que </w:t>
      </w:r>
      <w:r w:rsidR="008269C2" w:rsidRPr="008269C2">
        <w:rPr>
          <w:rFonts w:asciiTheme="minorHAnsi" w:hAnsiTheme="minorHAnsi" w:cstheme="minorHAnsi"/>
          <w:sz w:val="24"/>
          <w:szCs w:val="24"/>
        </w:rPr>
        <w:t>INSTITUI O CÓDIGO SANITÁRIO DO MUNICÍPIO DE VARGINHA E DÁ OUTRAS PROVIDÊNCIAS</w:t>
      </w:r>
      <w:r w:rsidRPr="00F24638">
        <w:rPr>
          <w:rFonts w:asciiTheme="minorHAnsi" w:hAnsiTheme="minorHAnsi" w:cstheme="minorHAnsi"/>
          <w:sz w:val="24"/>
          <w:szCs w:val="24"/>
        </w:rPr>
        <w:t>, com a seguinte redaç</w:t>
      </w:r>
      <w:r w:rsidR="002B0E02">
        <w:rPr>
          <w:rFonts w:asciiTheme="minorHAnsi" w:hAnsiTheme="minorHAnsi" w:cstheme="minorHAnsi"/>
          <w:sz w:val="24"/>
          <w:szCs w:val="24"/>
        </w:rPr>
        <w:t>ão</w:t>
      </w:r>
      <w:r w:rsidRPr="00F24638">
        <w:rPr>
          <w:rFonts w:asciiTheme="minorHAnsi" w:hAnsiTheme="minorHAnsi" w:cstheme="minorHAnsi"/>
          <w:sz w:val="24"/>
          <w:szCs w:val="24"/>
        </w:rPr>
        <w:t>:</w:t>
      </w:r>
    </w:p>
    <w:p w14:paraId="541527D3" w14:textId="21F7B355" w:rsidR="002B0E02" w:rsidRDefault="00F24638" w:rsidP="00F24638">
      <w:pPr>
        <w:pStyle w:val="Corpodetex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F24638">
        <w:rPr>
          <w:rFonts w:asciiTheme="minorHAnsi" w:hAnsiTheme="minorHAnsi" w:cstheme="minorHAnsi"/>
          <w:sz w:val="24"/>
          <w:szCs w:val="24"/>
        </w:rPr>
        <w:br/>
      </w:r>
      <w:r w:rsidR="002B0E02">
        <w:rPr>
          <w:rFonts w:asciiTheme="minorHAnsi" w:hAnsiTheme="minorHAnsi" w:cstheme="minorHAnsi"/>
          <w:b/>
          <w:bCs/>
          <w:sz w:val="24"/>
          <w:szCs w:val="24"/>
        </w:rPr>
        <w:t>“Art. 38. (...)</w:t>
      </w:r>
    </w:p>
    <w:p w14:paraId="6F0211D9" w14:textId="77777777" w:rsidR="002B0E02" w:rsidRDefault="002B0E02" w:rsidP="00F24638">
      <w:pPr>
        <w:pStyle w:val="Corpodetex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A7FB2FC" w14:textId="6FB0A860" w:rsidR="002B0E02" w:rsidRDefault="00F24638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F24638">
        <w:rPr>
          <w:rFonts w:asciiTheme="minorHAnsi" w:hAnsiTheme="minorHAnsi" w:cstheme="minorHAnsi"/>
          <w:b/>
          <w:bCs/>
          <w:sz w:val="24"/>
          <w:szCs w:val="24"/>
        </w:rPr>
        <w:t>§ 1°</w:t>
      </w:r>
      <w:r w:rsidRPr="00F24638">
        <w:rPr>
          <w:rFonts w:asciiTheme="minorHAnsi" w:hAnsiTheme="minorHAnsi" w:cstheme="minorHAnsi"/>
          <w:sz w:val="24"/>
          <w:szCs w:val="24"/>
        </w:rPr>
        <w:t xml:space="preserve"> Ficam obrigados os hipermercados, os supermercados, as mercearias, as padarias e demais estabelecimentos que comercializarem produtos perecíveis de qualquer natureza a afixarem placas ou cartazes informativos acerca da data de validade de produtos em </w:t>
      </w:r>
      <w:r w:rsidR="00D52EAC">
        <w:rPr>
          <w:rFonts w:asciiTheme="minorHAnsi" w:hAnsiTheme="minorHAnsi" w:cstheme="minorHAnsi"/>
          <w:sz w:val="24"/>
          <w:szCs w:val="24"/>
        </w:rPr>
        <w:t>“</w:t>
      </w:r>
      <w:r w:rsidRPr="00D52EAC">
        <w:rPr>
          <w:rFonts w:asciiTheme="minorHAnsi" w:hAnsiTheme="minorHAnsi" w:cstheme="minorHAnsi"/>
          <w:b/>
          <w:bCs/>
          <w:i/>
          <w:iCs/>
          <w:sz w:val="24"/>
          <w:szCs w:val="24"/>
        </w:rPr>
        <w:t>promoção</w:t>
      </w:r>
      <w:r w:rsidR="00D52EAC">
        <w:rPr>
          <w:rFonts w:asciiTheme="minorHAnsi" w:hAnsiTheme="minorHAnsi" w:cstheme="minorHAnsi"/>
          <w:sz w:val="24"/>
          <w:szCs w:val="24"/>
        </w:rPr>
        <w:t>”</w:t>
      </w:r>
      <w:r w:rsidRPr="00F24638">
        <w:rPr>
          <w:rFonts w:asciiTheme="minorHAnsi" w:hAnsiTheme="minorHAnsi" w:cstheme="minorHAnsi"/>
          <w:sz w:val="24"/>
          <w:szCs w:val="24"/>
        </w:rPr>
        <w:t xml:space="preserve"> que estiverem a menos de dez dias do seu vencimento.</w:t>
      </w:r>
    </w:p>
    <w:p w14:paraId="673868FA" w14:textId="7A2033A1" w:rsidR="00D52EAC" w:rsidRDefault="00D52EAC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6C07E6CF" w14:textId="41356B76" w:rsidR="00F24638" w:rsidRPr="00F24638" w:rsidRDefault="00F24638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F24638">
        <w:rPr>
          <w:rFonts w:asciiTheme="minorHAnsi" w:hAnsiTheme="minorHAnsi" w:cstheme="minorHAnsi"/>
          <w:b/>
          <w:bCs/>
          <w:sz w:val="24"/>
          <w:szCs w:val="24"/>
        </w:rPr>
        <w:t>§</w:t>
      </w:r>
      <w:r w:rsidRPr="00F24638">
        <w:rPr>
          <w:rFonts w:asciiTheme="minorHAnsi" w:hAnsiTheme="minorHAnsi" w:cstheme="minorHAnsi"/>
          <w:sz w:val="24"/>
          <w:szCs w:val="24"/>
        </w:rPr>
        <w:t xml:space="preserve"> </w:t>
      </w:r>
      <w:r w:rsidRPr="00F24638">
        <w:rPr>
          <w:rFonts w:asciiTheme="minorHAnsi" w:hAnsiTheme="minorHAnsi" w:cstheme="minorHAnsi"/>
          <w:b/>
          <w:bCs/>
          <w:sz w:val="24"/>
          <w:szCs w:val="24"/>
        </w:rPr>
        <w:t xml:space="preserve">2° </w:t>
      </w:r>
      <w:r w:rsidRPr="00F24638">
        <w:rPr>
          <w:rFonts w:asciiTheme="minorHAnsi" w:hAnsiTheme="minorHAnsi" w:cstheme="minorHAnsi"/>
          <w:sz w:val="24"/>
          <w:szCs w:val="24"/>
        </w:rPr>
        <w:t xml:space="preserve">A informação de que trata o parágrafo </w:t>
      </w:r>
      <w:r w:rsidR="002B0E02">
        <w:rPr>
          <w:rFonts w:asciiTheme="minorHAnsi" w:hAnsiTheme="minorHAnsi" w:cstheme="minorHAnsi"/>
          <w:sz w:val="24"/>
          <w:szCs w:val="24"/>
        </w:rPr>
        <w:t xml:space="preserve">anterior </w:t>
      </w:r>
      <w:r w:rsidRPr="00F24638">
        <w:rPr>
          <w:rFonts w:asciiTheme="minorHAnsi" w:hAnsiTheme="minorHAnsi" w:cstheme="minorHAnsi"/>
          <w:sz w:val="24"/>
          <w:szCs w:val="24"/>
        </w:rPr>
        <w:t>deve ser disponibilizada de forma precisa e esclarecedora por meio de aviso escrito e em tamanho que possibilite a sua nítida e destacada visualização pelo consumidor, afixado próximo ao preço e/ou local onde o produto estiver exposto, com os seguintes dizeres:</w:t>
      </w:r>
    </w:p>
    <w:p w14:paraId="062E926E" w14:textId="77777777" w:rsidR="00F24638" w:rsidRPr="002B0E02" w:rsidRDefault="00F24638" w:rsidP="00F24638">
      <w:pPr>
        <w:pStyle w:val="Corpodetex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3B449EC" w14:textId="396868D5" w:rsidR="00F24638" w:rsidRDefault="00F24638" w:rsidP="008B3A79">
      <w:pPr>
        <w:pStyle w:val="Corpodetex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B0E02">
        <w:rPr>
          <w:rFonts w:asciiTheme="minorHAnsi" w:hAnsiTheme="minorHAnsi" w:cstheme="minorHAnsi"/>
          <w:b/>
          <w:bCs/>
          <w:sz w:val="24"/>
          <w:szCs w:val="24"/>
        </w:rPr>
        <w:t>"SENHOR(A) CONSUMIDOR(A) – AVISO IMPORTANTE:</w:t>
      </w:r>
      <w:r w:rsidRPr="002B0E02">
        <w:rPr>
          <w:rFonts w:asciiTheme="minorHAnsi" w:hAnsiTheme="minorHAnsi" w:cstheme="minorHAnsi"/>
          <w:b/>
          <w:bCs/>
          <w:sz w:val="24"/>
          <w:szCs w:val="24"/>
        </w:rPr>
        <w:br/>
        <w:t>PRODUTO COM DATA DE VALIDADE PRÓXIMA A SEU VENCIMENTO</w:t>
      </w:r>
      <w:r w:rsidR="002B0E02" w:rsidRPr="002B0E02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758A7A7C" w14:textId="5C89CF58" w:rsidR="00D52EAC" w:rsidRDefault="00D52EAC" w:rsidP="008B3A79">
      <w:pPr>
        <w:pStyle w:val="Corpodetex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DE45D2E" w14:textId="19A0ED6B" w:rsidR="00D52EAC" w:rsidRPr="00D52EAC" w:rsidRDefault="00D52EAC" w:rsidP="00D52EAC">
      <w:pPr>
        <w:pStyle w:val="text-center"/>
        <w:shd w:val="clear" w:color="auto" w:fill="FFFFFF"/>
        <w:spacing w:before="30" w:beforeAutospacing="0" w:after="45" w:afterAutospacing="0"/>
        <w:jc w:val="both"/>
        <w:rPr>
          <w:rFonts w:asciiTheme="minorHAnsi" w:hAnsiTheme="minorHAnsi" w:cstheme="minorHAnsi"/>
          <w:b/>
          <w:bCs/>
        </w:rPr>
      </w:pPr>
      <w:r w:rsidRPr="00F24638">
        <w:rPr>
          <w:rFonts w:asciiTheme="minorHAnsi" w:hAnsiTheme="minorHAnsi" w:cstheme="minorHAnsi"/>
          <w:b/>
          <w:bCs/>
        </w:rPr>
        <w:t>§</w:t>
      </w:r>
      <w:r w:rsidRPr="00F24638">
        <w:rPr>
          <w:rFonts w:asciiTheme="minorHAnsi" w:hAnsiTheme="minorHAnsi" w:cstheme="minorHAnsi"/>
        </w:rPr>
        <w:t xml:space="preserve"> </w:t>
      </w:r>
      <w:r w:rsidRPr="00D52EAC">
        <w:rPr>
          <w:rFonts w:asciiTheme="minorHAnsi" w:hAnsiTheme="minorHAnsi" w:cstheme="minorHAnsi"/>
          <w:b/>
          <w:bCs/>
        </w:rPr>
        <w:t>3°</w:t>
      </w:r>
      <w:r>
        <w:rPr>
          <w:rFonts w:asciiTheme="minorHAnsi" w:hAnsiTheme="minorHAnsi" w:cstheme="minorHAnsi"/>
          <w:b/>
          <w:bCs/>
        </w:rPr>
        <w:t xml:space="preserve"> </w:t>
      </w:r>
      <w:r w:rsidRPr="00D52EAC">
        <w:rPr>
          <w:rFonts w:asciiTheme="minorHAnsi" w:hAnsiTheme="minorHAnsi" w:cstheme="minorHAnsi"/>
        </w:rPr>
        <w:t>O dispos</w:t>
      </w:r>
      <w:r>
        <w:rPr>
          <w:rFonts w:asciiTheme="minorHAnsi" w:hAnsiTheme="minorHAnsi" w:cstheme="minorHAnsi"/>
        </w:rPr>
        <w:t>t</w:t>
      </w:r>
      <w:r w:rsidRPr="00D52EAC">
        <w:rPr>
          <w:rFonts w:asciiTheme="minorHAnsi" w:hAnsiTheme="minorHAnsi" w:cstheme="minorHAnsi"/>
        </w:rPr>
        <w:t xml:space="preserve">o </w:t>
      </w:r>
      <w:r w:rsidR="00B658FA">
        <w:rPr>
          <w:rFonts w:asciiTheme="minorHAnsi" w:hAnsiTheme="minorHAnsi" w:cstheme="minorHAnsi"/>
        </w:rPr>
        <w:t>n</w:t>
      </w:r>
      <w:r w:rsidRPr="00D52EAC">
        <w:rPr>
          <w:rFonts w:asciiTheme="minorHAnsi" w:hAnsiTheme="minorHAnsi" w:cstheme="minorHAnsi"/>
        </w:rPr>
        <w:t>o §1º</w:t>
      </w:r>
      <w:r w:rsidRPr="00D52EAC">
        <w:rPr>
          <w:rFonts w:asciiTheme="minorHAnsi" w:hAnsiTheme="minorHAnsi" w:cstheme="minorHAnsi"/>
          <w:color w:val="162937"/>
        </w:rPr>
        <w:t xml:space="preserve"> não se aplica à lista de alimentos isentos da declaração obrigatória do prazo de validade, constante do Anexo I da Resolução </w:t>
      </w:r>
      <w:r w:rsidRPr="00D52EAC">
        <w:rPr>
          <w:rFonts w:asciiTheme="minorHAnsi" w:hAnsiTheme="minorHAnsi" w:cstheme="minorHAnsi"/>
          <w:caps/>
          <w:color w:val="162937"/>
        </w:rPr>
        <w:t>RDC Nº 72</w:t>
      </w:r>
      <w:r w:rsidRPr="00D52EAC">
        <w:rPr>
          <w:rFonts w:asciiTheme="minorHAnsi" w:hAnsiTheme="minorHAnsi" w:cstheme="minorHAnsi"/>
          <w:color w:val="162937"/>
        </w:rPr>
        <w:t>7, de 1° de julho de 2022, da Anvisa</w:t>
      </w:r>
      <w:r w:rsidR="00F92B93">
        <w:rPr>
          <w:rFonts w:asciiTheme="minorHAnsi" w:hAnsiTheme="minorHAnsi" w:cstheme="minorHAnsi"/>
          <w:color w:val="162937"/>
        </w:rPr>
        <w:t xml:space="preserve">, </w:t>
      </w:r>
      <w:r w:rsidR="00F92B93" w:rsidRPr="00F92B93">
        <w:rPr>
          <w:rFonts w:asciiTheme="minorHAnsi" w:hAnsiTheme="minorHAnsi" w:cstheme="minorHAnsi"/>
          <w:color w:val="162937"/>
        </w:rPr>
        <w:t>ou outra que vier</w:t>
      </w:r>
      <w:r w:rsidR="00F92B93">
        <w:rPr>
          <w:rFonts w:asciiTheme="minorHAnsi" w:hAnsiTheme="minorHAnsi" w:cstheme="minorHAnsi"/>
          <w:color w:val="162937"/>
        </w:rPr>
        <w:t xml:space="preserve"> a</w:t>
      </w:r>
      <w:r w:rsidR="00F92B93" w:rsidRPr="00F92B93">
        <w:rPr>
          <w:rFonts w:asciiTheme="minorHAnsi" w:hAnsiTheme="minorHAnsi" w:cstheme="minorHAnsi"/>
          <w:color w:val="162937"/>
        </w:rPr>
        <w:t xml:space="preserve"> substituí-la</w:t>
      </w:r>
      <w:r w:rsidR="00F92B93">
        <w:rPr>
          <w:rFonts w:asciiTheme="minorHAnsi" w:hAnsiTheme="minorHAnsi" w:cstheme="minorHAnsi"/>
          <w:color w:val="162937"/>
        </w:rPr>
        <w:t>.</w:t>
      </w:r>
    </w:p>
    <w:p w14:paraId="7684B2E8" w14:textId="77777777" w:rsidR="00F24638" w:rsidRPr="00F24638" w:rsidRDefault="00F24638" w:rsidP="00F24638">
      <w:pPr>
        <w:pStyle w:val="Corpodetex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BD055C1" w14:textId="03E581C5" w:rsidR="00F24638" w:rsidRPr="00F24638" w:rsidRDefault="00F24638" w:rsidP="00544167">
      <w:pPr>
        <w:pStyle w:val="Corpodetex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24638">
        <w:rPr>
          <w:rFonts w:asciiTheme="minorHAnsi" w:hAnsiTheme="minorHAnsi" w:cstheme="minorHAnsi"/>
          <w:b/>
          <w:bCs/>
          <w:sz w:val="24"/>
          <w:szCs w:val="24"/>
        </w:rPr>
        <w:t>Art. 2º</w:t>
      </w:r>
      <w:r w:rsidRPr="00F24638">
        <w:rPr>
          <w:rFonts w:asciiTheme="minorHAnsi" w:hAnsiTheme="minorHAnsi" w:cstheme="minorHAnsi"/>
          <w:sz w:val="24"/>
          <w:szCs w:val="24"/>
        </w:rPr>
        <w:t xml:space="preserve"> O </w:t>
      </w:r>
      <w:r w:rsidR="002B0E02">
        <w:rPr>
          <w:rFonts w:asciiTheme="minorHAnsi" w:hAnsiTheme="minorHAnsi" w:cstheme="minorHAnsi"/>
          <w:sz w:val="24"/>
          <w:szCs w:val="24"/>
        </w:rPr>
        <w:t>A</w:t>
      </w:r>
      <w:r w:rsidRPr="00F24638">
        <w:rPr>
          <w:rFonts w:asciiTheme="minorHAnsi" w:hAnsiTheme="minorHAnsi" w:cstheme="minorHAnsi"/>
          <w:sz w:val="24"/>
          <w:szCs w:val="24"/>
        </w:rPr>
        <w:t xml:space="preserve">nexo I desta Lei </w:t>
      </w:r>
      <w:r w:rsidR="002B0E02">
        <w:rPr>
          <w:rFonts w:asciiTheme="minorHAnsi" w:hAnsiTheme="minorHAnsi" w:cstheme="minorHAnsi"/>
          <w:sz w:val="24"/>
          <w:szCs w:val="24"/>
        </w:rPr>
        <w:t xml:space="preserve">acrescenta o </w:t>
      </w:r>
      <w:r w:rsidRPr="00F24638">
        <w:rPr>
          <w:rFonts w:asciiTheme="minorHAnsi" w:hAnsiTheme="minorHAnsi" w:cstheme="minorHAnsi"/>
          <w:sz w:val="24"/>
          <w:szCs w:val="24"/>
        </w:rPr>
        <w:t xml:space="preserve">item </w:t>
      </w:r>
      <w:r w:rsidR="002B0E02">
        <w:rPr>
          <w:rFonts w:asciiTheme="minorHAnsi" w:hAnsiTheme="minorHAnsi" w:cstheme="minorHAnsi"/>
          <w:sz w:val="24"/>
          <w:szCs w:val="24"/>
        </w:rPr>
        <w:t>“</w:t>
      </w:r>
      <w:r w:rsidR="002B0E02" w:rsidRPr="003E4F05">
        <w:rPr>
          <w:rFonts w:asciiTheme="minorHAnsi" w:hAnsiTheme="minorHAnsi" w:cstheme="minorHAnsi"/>
          <w:b/>
          <w:bCs/>
          <w:sz w:val="24"/>
          <w:szCs w:val="24"/>
        </w:rPr>
        <w:t>Código 163.1</w:t>
      </w:r>
      <w:r w:rsidR="002B0E02">
        <w:rPr>
          <w:rFonts w:asciiTheme="minorHAnsi" w:hAnsiTheme="minorHAnsi" w:cstheme="minorHAnsi"/>
          <w:sz w:val="24"/>
          <w:szCs w:val="24"/>
        </w:rPr>
        <w:t>” a</w:t>
      </w:r>
      <w:r w:rsidRPr="00F24638">
        <w:rPr>
          <w:rFonts w:asciiTheme="minorHAnsi" w:hAnsiTheme="minorHAnsi" w:cstheme="minorHAnsi"/>
          <w:sz w:val="24"/>
          <w:szCs w:val="24"/>
        </w:rPr>
        <w:t xml:space="preserve">o </w:t>
      </w:r>
      <w:r w:rsidR="002B0E02">
        <w:rPr>
          <w:rFonts w:asciiTheme="minorHAnsi" w:hAnsiTheme="minorHAnsi" w:cstheme="minorHAnsi"/>
          <w:sz w:val="24"/>
          <w:szCs w:val="24"/>
        </w:rPr>
        <w:t>A</w:t>
      </w:r>
      <w:r w:rsidRPr="00F24638">
        <w:rPr>
          <w:rFonts w:asciiTheme="minorHAnsi" w:hAnsiTheme="minorHAnsi" w:cstheme="minorHAnsi"/>
          <w:sz w:val="24"/>
          <w:szCs w:val="24"/>
        </w:rPr>
        <w:t>nexo VII na Lei Municipal nº 2.988/1997</w:t>
      </w:r>
      <w:r w:rsidR="003E4F05">
        <w:rPr>
          <w:rFonts w:asciiTheme="minorHAnsi" w:hAnsiTheme="minorHAnsi" w:cstheme="minorHAnsi"/>
          <w:sz w:val="24"/>
          <w:szCs w:val="24"/>
        </w:rPr>
        <w:t>, com a alteração dada pela redação da Lei Municipal n.° 3.099/98.</w:t>
      </w:r>
    </w:p>
    <w:p w14:paraId="6276C778" w14:textId="77777777" w:rsidR="00F24638" w:rsidRPr="00F24638" w:rsidRDefault="00F24638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01CF3830" w14:textId="45CD473D" w:rsidR="00F24638" w:rsidRPr="00F24638" w:rsidRDefault="00F24638" w:rsidP="00544167">
      <w:pPr>
        <w:pStyle w:val="Corpodetex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24638">
        <w:rPr>
          <w:rFonts w:asciiTheme="minorHAnsi" w:hAnsiTheme="minorHAnsi" w:cstheme="minorHAnsi"/>
          <w:b/>
          <w:bCs/>
          <w:sz w:val="24"/>
          <w:szCs w:val="24"/>
        </w:rPr>
        <w:t>Art. 3º</w:t>
      </w:r>
      <w:r w:rsidRPr="00F24638">
        <w:rPr>
          <w:rFonts w:asciiTheme="minorHAnsi" w:hAnsiTheme="minorHAnsi" w:cstheme="minorHAnsi"/>
          <w:sz w:val="24"/>
          <w:szCs w:val="24"/>
        </w:rPr>
        <w:t xml:space="preserve"> Esta Lei entrará em vigor na data de sua publicação, revogadas as disposições em contrário.</w:t>
      </w:r>
    </w:p>
    <w:p w14:paraId="51F079A8" w14:textId="1D2D20F2" w:rsidR="00F24638" w:rsidRDefault="00F24638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67559B22" w14:textId="77777777" w:rsidR="00B658FA" w:rsidRPr="00F24638" w:rsidRDefault="00B658FA" w:rsidP="00F24638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044693AA" w14:textId="0089438E" w:rsidR="001967DF" w:rsidRPr="005541D0" w:rsidRDefault="001967DF" w:rsidP="005541D0">
      <w:pPr>
        <w:spacing w:after="12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5541D0">
        <w:rPr>
          <w:rFonts w:ascii="Calibri" w:hAnsi="Calibri" w:cs="Calibri"/>
          <w:b/>
          <w:sz w:val="24"/>
          <w:szCs w:val="24"/>
        </w:rPr>
        <w:lastRenderedPageBreak/>
        <w:t xml:space="preserve">Sala das Sessões da Câmara Municipal de Varginha, em </w:t>
      </w:r>
      <w:r w:rsidR="00C819CD">
        <w:rPr>
          <w:rFonts w:ascii="Calibri" w:hAnsi="Calibri" w:cs="Calibri"/>
          <w:b/>
          <w:sz w:val="24"/>
          <w:szCs w:val="24"/>
        </w:rPr>
        <w:t>02 de abril</w:t>
      </w:r>
      <w:r w:rsidRPr="005541D0">
        <w:rPr>
          <w:rFonts w:ascii="Calibri" w:hAnsi="Calibri" w:cs="Calibri"/>
          <w:b/>
          <w:sz w:val="24"/>
          <w:szCs w:val="24"/>
        </w:rPr>
        <w:t xml:space="preserve"> de 2025.</w:t>
      </w:r>
    </w:p>
    <w:p w14:paraId="67BA912F" w14:textId="77777777" w:rsidR="001967DF" w:rsidRPr="005803A5" w:rsidRDefault="001967DF" w:rsidP="005541D0">
      <w:pPr>
        <w:spacing w:after="12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0AD8DA83" w14:textId="77777777" w:rsidR="001967DF" w:rsidRPr="005541D0" w:rsidRDefault="001967DF" w:rsidP="005541D0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5541D0">
        <w:rPr>
          <w:rFonts w:ascii="Calibri" w:hAnsi="Calibri" w:cs="Calibri"/>
          <w:b/>
          <w:sz w:val="24"/>
          <w:szCs w:val="24"/>
        </w:rPr>
        <w:t>ANA RIOS FONTOURA</w:t>
      </w:r>
    </w:p>
    <w:p w14:paraId="3C4396F3" w14:textId="77777777" w:rsidR="001967DF" w:rsidRDefault="001967DF" w:rsidP="005541D0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5541D0">
        <w:rPr>
          <w:rFonts w:ascii="Calibri" w:hAnsi="Calibri" w:cs="Calibri"/>
          <w:b/>
          <w:sz w:val="24"/>
          <w:szCs w:val="24"/>
        </w:rPr>
        <w:t>Vereadora</w:t>
      </w:r>
    </w:p>
    <w:p w14:paraId="5E0E8F91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ANEXO I</w:t>
      </w:r>
    </w:p>
    <w:p w14:paraId="6FA699DF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569E4F0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A80BECE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Inclui item ao Anexo VII da Lei Municipal n.º 2.988/97</w:t>
      </w:r>
    </w:p>
    <w:p w14:paraId="2824A2BA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08394C3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2EEB27C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A424159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AD1C860" w14:textId="77777777" w:rsidR="00893DE3" w:rsidRDefault="00893DE3" w:rsidP="00893DE3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"/>
        <w:gridCol w:w="3779"/>
        <w:gridCol w:w="1203"/>
        <w:gridCol w:w="1495"/>
        <w:gridCol w:w="981"/>
      </w:tblGrid>
      <w:tr w:rsidR="00893DE3" w14:paraId="5D7E4A2D" w14:textId="77777777" w:rsidTr="00675759">
        <w:tc>
          <w:tcPr>
            <w:tcW w:w="1036" w:type="dxa"/>
          </w:tcPr>
          <w:p w14:paraId="0D00EAF0" w14:textId="77777777" w:rsidR="00893DE3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CÓDIGO</w:t>
            </w:r>
          </w:p>
        </w:tc>
        <w:tc>
          <w:tcPr>
            <w:tcW w:w="3779" w:type="dxa"/>
          </w:tcPr>
          <w:p w14:paraId="7741A791" w14:textId="77777777" w:rsidR="00893DE3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INFRAÇÃO</w:t>
            </w:r>
          </w:p>
        </w:tc>
        <w:tc>
          <w:tcPr>
            <w:tcW w:w="1203" w:type="dxa"/>
          </w:tcPr>
          <w:p w14:paraId="2CC6503A" w14:textId="77777777" w:rsidR="00893DE3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ARTIGO</w:t>
            </w:r>
          </w:p>
        </w:tc>
        <w:tc>
          <w:tcPr>
            <w:tcW w:w="1495" w:type="dxa"/>
          </w:tcPr>
          <w:p w14:paraId="4F007FEF" w14:textId="77777777" w:rsidR="00893DE3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PENALIDADE</w:t>
            </w:r>
          </w:p>
        </w:tc>
        <w:tc>
          <w:tcPr>
            <w:tcW w:w="981" w:type="dxa"/>
          </w:tcPr>
          <w:p w14:paraId="6138DCDF" w14:textId="77777777" w:rsidR="00893DE3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MULTA</w:t>
            </w:r>
          </w:p>
        </w:tc>
      </w:tr>
      <w:tr w:rsidR="00893DE3" w14:paraId="6F7EA1BD" w14:textId="77777777" w:rsidTr="00675759">
        <w:tc>
          <w:tcPr>
            <w:tcW w:w="1036" w:type="dxa"/>
            <w:vAlign w:val="center"/>
          </w:tcPr>
          <w:p w14:paraId="50F08128" w14:textId="77777777" w:rsidR="00893DE3" w:rsidRPr="0077230E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230E">
              <w:rPr>
                <w:rFonts w:ascii="Calibri" w:hAnsi="Calibri" w:cs="Calibri"/>
                <w:sz w:val="24"/>
                <w:szCs w:val="24"/>
              </w:rPr>
              <w:t>163.1</w:t>
            </w:r>
          </w:p>
        </w:tc>
        <w:tc>
          <w:tcPr>
            <w:tcW w:w="3779" w:type="dxa"/>
            <w:vAlign w:val="center"/>
          </w:tcPr>
          <w:p w14:paraId="3597A915" w14:textId="77777777" w:rsidR="00893DE3" w:rsidRPr="0077230E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230E">
              <w:rPr>
                <w:rFonts w:ascii="Calibri" w:hAnsi="Calibri" w:cs="Calibri"/>
                <w:sz w:val="24"/>
                <w:szCs w:val="24"/>
              </w:rPr>
              <w:t>Não afixar placas ou cartazes informativos acerca da data de validade de produtos em promoção que estiverem a menos de 10 (dez) dias de seu vencimento, conforme descrito em Lei</w:t>
            </w:r>
          </w:p>
        </w:tc>
        <w:tc>
          <w:tcPr>
            <w:tcW w:w="1203" w:type="dxa"/>
            <w:vAlign w:val="center"/>
          </w:tcPr>
          <w:p w14:paraId="163E6465" w14:textId="77777777" w:rsidR="00893DE3" w:rsidRPr="0077230E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230E">
              <w:rPr>
                <w:rFonts w:ascii="Calibri" w:hAnsi="Calibri" w:cs="Calibri"/>
                <w:sz w:val="24"/>
                <w:szCs w:val="24"/>
              </w:rPr>
              <w:t>§§ 1º e 2º do Artigo 38</w:t>
            </w:r>
          </w:p>
        </w:tc>
        <w:tc>
          <w:tcPr>
            <w:tcW w:w="1495" w:type="dxa"/>
            <w:vAlign w:val="center"/>
          </w:tcPr>
          <w:p w14:paraId="729E4164" w14:textId="77777777" w:rsidR="00893DE3" w:rsidRPr="0077230E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230E">
              <w:rPr>
                <w:rFonts w:ascii="Calibri" w:hAnsi="Calibri" w:cs="Calibri"/>
                <w:sz w:val="24"/>
                <w:szCs w:val="24"/>
              </w:rPr>
              <w:t>01, 02, 04, 05, 14, 17, 20</w:t>
            </w:r>
          </w:p>
        </w:tc>
        <w:tc>
          <w:tcPr>
            <w:tcW w:w="981" w:type="dxa"/>
            <w:vAlign w:val="center"/>
          </w:tcPr>
          <w:p w14:paraId="3C3F9D34" w14:textId="77777777" w:rsidR="00893DE3" w:rsidRPr="0077230E" w:rsidRDefault="00893DE3" w:rsidP="0067575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7230E">
              <w:rPr>
                <w:rFonts w:ascii="Calibri" w:hAnsi="Calibri" w:cs="Calibri"/>
                <w:sz w:val="24"/>
                <w:szCs w:val="24"/>
              </w:rPr>
              <w:t>20.05</w:t>
            </w:r>
          </w:p>
        </w:tc>
      </w:tr>
    </w:tbl>
    <w:p w14:paraId="4F289D64" w14:textId="77777777" w:rsidR="00893DE3" w:rsidRDefault="00893DE3">
      <w:pPr>
        <w:spacing w:after="160" w:line="240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br w:type="page"/>
      </w:r>
    </w:p>
    <w:p w14:paraId="71309A8A" w14:textId="165C2274" w:rsidR="00A37ED3" w:rsidRPr="00A37ED3" w:rsidRDefault="00A37ED3" w:rsidP="008269C2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37ED3"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0EE723C5" w14:textId="77777777" w:rsidR="00C93918" w:rsidRPr="00A37ED3" w:rsidRDefault="00C93918" w:rsidP="005541D0">
      <w:pPr>
        <w:spacing w:after="120" w:line="240" w:lineRule="auto"/>
        <w:ind w:firstLine="1418"/>
        <w:rPr>
          <w:rFonts w:cstheme="minorHAnsi"/>
          <w:b/>
          <w:bCs/>
          <w:sz w:val="24"/>
          <w:szCs w:val="24"/>
        </w:rPr>
      </w:pPr>
    </w:p>
    <w:p w14:paraId="367206BD" w14:textId="77777777" w:rsidR="00893DE3" w:rsidRPr="006F6518" w:rsidRDefault="00893DE3" w:rsidP="00893DE3">
      <w:pPr>
        <w:pStyle w:val="NormalWeb"/>
        <w:ind w:firstLine="1418"/>
        <w:jc w:val="both"/>
        <w:rPr>
          <w:rFonts w:ascii="Calibri" w:hAnsi="Calibri" w:cs="Calibri"/>
        </w:rPr>
      </w:pPr>
      <w:r w:rsidRPr="006F6518">
        <w:rPr>
          <w:rFonts w:ascii="Calibri" w:hAnsi="Calibri" w:cs="Calibri"/>
        </w:rPr>
        <w:t>O presente Projeto de Lei visa garantir maior transparência e segurança ao consumidor no momento da aquisição de produtos perecíveis, especialmente aqueles que se encontram em promoção devido à proximidade de seu vencimento. Trata-se de uma medida de proteção ao consumidor, assegurando que ele tenha informações claras e acessíveis sobre a validade dos produtos que está adquirindo.</w:t>
      </w:r>
    </w:p>
    <w:p w14:paraId="4F794CB6" w14:textId="77777777" w:rsidR="00893DE3" w:rsidRPr="006F6518" w:rsidRDefault="00893DE3" w:rsidP="00893DE3">
      <w:pPr>
        <w:pStyle w:val="NormalWeb"/>
        <w:ind w:firstLine="1418"/>
        <w:jc w:val="both"/>
        <w:rPr>
          <w:rFonts w:ascii="Calibri" w:hAnsi="Calibri" w:cs="Calibri"/>
        </w:rPr>
      </w:pPr>
      <w:r w:rsidRPr="006F6518">
        <w:rPr>
          <w:rFonts w:ascii="Calibri" w:hAnsi="Calibri" w:cs="Calibri"/>
        </w:rPr>
        <w:t>É comum que estabelecimentos comerciais realizem promoções para a venda de produtos que estão próximos do vencimento. No entanto, a ausência de uma sinalização adequada pode levar o consumidor a adquiri-los sem plena ciência dessa condição, o que pode resultar em desperdício de alimentos ou, em casos mais graves, consumo inadvertido de itens fora do prazo de validade, ocasionando riscos à saúde.</w:t>
      </w:r>
    </w:p>
    <w:p w14:paraId="7B80C9F7" w14:textId="77777777" w:rsidR="00893DE3" w:rsidRPr="006F6518" w:rsidRDefault="00893DE3" w:rsidP="00893DE3">
      <w:pPr>
        <w:pStyle w:val="NormalWeb"/>
        <w:ind w:firstLine="1418"/>
        <w:jc w:val="both"/>
        <w:rPr>
          <w:rFonts w:ascii="Calibri" w:hAnsi="Calibri" w:cs="Calibri"/>
        </w:rPr>
      </w:pPr>
      <w:r w:rsidRPr="006F6518">
        <w:rPr>
          <w:rFonts w:ascii="Calibri" w:hAnsi="Calibri" w:cs="Calibri"/>
        </w:rPr>
        <w:t>Dessa forma, a proposta busca incluir a obrigatoriedade da afixação de placas ou cartazes informativos próximos aos produtos em promoção cuja data de validade esteja a menos de dez dias do vencimento. A medida visa assegurar que a comunicação seja precisa, destacada e de fácil visualização, permitindo que o consumidor faça uma escolha consciente e segura no momento da compra.</w:t>
      </w:r>
    </w:p>
    <w:p w14:paraId="16D0FF7F" w14:textId="77777777" w:rsidR="00893DE3" w:rsidRPr="006F6518" w:rsidRDefault="00893DE3" w:rsidP="00893DE3">
      <w:pPr>
        <w:pStyle w:val="NormalWeb"/>
        <w:ind w:firstLine="1418"/>
        <w:jc w:val="both"/>
        <w:rPr>
          <w:rFonts w:ascii="Calibri" w:hAnsi="Calibri" w:cs="Calibri"/>
        </w:rPr>
      </w:pPr>
      <w:r w:rsidRPr="006F6518">
        <w:rPr>
          <w:rFonts w:ascii="Calibri" w:hAnsi="Calibri" w:cs="Calibri"/>
        </w:rPr>
        <w:t>Além de proteger os consumidores, a iniciativa contribui para a transparência nas relações de consumo, promovendo um ambiente comercial mais ético e responsável. A proposta também está alinhada com os princípios do Código de Defesa do Consumidor, que preza pela informação clara e adequada sobre os produtos e serviços oferecidos no mercado.</w:t>
      </w:r>
    </w:p>
    <w:p w14:paraId="6AE65ADD" w14:textId="77777777" w:rsidR="00893DE3" w:rsidRPr="006F6518" w:rsidRDefault="00893DE3" w:rsidP="00893DE3">
      <w:pPr>
        <w:pStyle w:val="NormalWeb"/>
        <w:ind w:firstLine="1418"/>
        <w:jc w:val="both"/>
        <w:rPr>
          <w:rFonts w:ascii="Calibri" w:hAnsi="Calibri" w:cs="Calibri"/>
        </w:rPr>
      </w:pPr>
      <w:r w:rsidRPr="006F6518">
        <w:rPr>
          <w:rFonts w:ascii="Calibri" w:hAnsi="Calibri" w:cs="Calibri"/>
        </w:rPr>
        <w:t>Diante do exposto, solicit</w:t>
      </w:r>
      <w:r>
        <w:rPr>
          <w:rFonts w:ascii="Calibri" w:hAnsi="Calibri" w:cs="Calibri"/>
        </w:rPr>
        <w:t>a</w:t>
      </w:r>
      <w:r w:rsidRPr="006F6518">
        <w:rPr>
          <w:rFonts w:ascii="Calibri" w:hAnsi="Calibri" w:cs="Calibri"/>
        </w:rPr>
        <w:t xml:space="preserve"> o apoio dos nobres pares para a aprovação deste Projeto de Lei, que representa um avanço na defesa dos direitos do consumidor e na promoção de boas práticas comerciais no município de Varginha.</w:t>
      </w:r>
    </w:p>
    <w:p w14:paraId="5FFC76E9" w14:textId="77777777" w:rsidR="005541D0" w:rsidRPr="001967DF" w:rsidRDefault="005541D0" w:rsidP="005541D0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2C133B1D" w14:textId="2725FD71" w:rsidR="003363A0" w:rsidRPr="005541D0" w:rsidRDefault="003363A0" w:rsidP="005541D0">
      <w:pPr>
        <w:spacing w:after="120" w:line="240" w:lineRule="auto"/>
        <w:ind w:firstLine="540"/>
        <w:jc w:val="center"/>
        <w:rPr>
          <w:rFonts w:ascii="Calibri" w:hAnsi="Calibri" w:cs="Calibri"/>
          <w:b/>
          <w:bCs/>
          <w:sz w:val="24"/>
          <w:szCs w:val="24"/>
        </w:rPr>
      </w:pPr>
      <w:r w:rsidRPr="005541D0">
        <w:rPr>
          <w:rFonts w:ascii="Calibri" w:hAnsi="Calibri" w:cs="Calibri"/>
          <w:b/>
          <w:bCs/>
          <w:sz w:val="24"/>
          <w:szCs w:val="24"/>
        </w:rPr>
        <w:t>Sala das Sessões da Câmara Municipal de Varginha,</w:t>
      </w:r>
      <w:r w:rsidR="005541D0" w:rsidRPr="005541D0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5541D0">
        <w:rPr>
          <w:rFonts w:ascii="Calibri" w:hAnsi="Calibri" w:cs="Calibri"/>
          <w:b/>
          <w:bCs/>
          <w:sz w:val="24"/>
          <w:szCs w:val="24"/>
        </w:rPr>
        <w:t xml:space="preserve">em </w:t>
      </w:r>
      <w:r w:rsidR="00287633">
        <w:rPr>
          <w:rFonts w:ascii="Calibri" w:hAnsi="Calibri" w:cs="Calibri"/>
          <w:b/>
          <w:bCs/>
          <w:sz w:val="24"/>
          <w:szCs w:val="24"/>
        </w:rPr>
        <w:t>2 de abril</w:t>
      </w:r>
      <w:r w:rsidRPr="005541D0">
        <w:rPr>
          <w:rFonts w:ascii="Calibri" w:hAnsi="Calibri" w:cs="Calibri"/>
          <w:b/>
          <w:bCs/>
          <w:sz w:val="24"/>
          <w:szCs w:val="24"/>
        </w:rPr>
        <w:t xml:space="preserve"> de 202</w:t>
      </w:r>
      <w:r w:rsidR="00D63F04" w:rsidRPr="005541D0">
        <w:rPr>
          <w:rFonts w:ascii="Calibri" w:hAnsi="Calibri" w:cs="Calibri"/>
          <w:b/>
          <w:bCs/>
          <w:sz w:val="24"/>
          <w:szCs w:val="24"/>
        </w:rPr>
        <w:t>5</w:t>
      </w:r>
      <w:r w:rsidRPr="005541D0">
        <w:rPr>
          <w:rFonts w:ascii="Calibri" w:hAnsi="Calibri" w:cs="Calibri"/>
          <w:b/>
          <w:bCs/>
          <w:sz w:val="24"/>
          <w:szCs w:val="24"/>
        </w:rPr>
        <w:t>.</w:t>
      </w:r>
    </w:p>
    <w:p w14:paraId="78CF8460" w14:textId="77777777" w:rsidR="003363A0" w:rsidRPr="005541D0" w:rsidRDefault="003363A0" w:rsidP="005541D0">
      <w:pPr>
        <w:spacing w:after="12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C164398" w14:textId="77777777" w:rsidR="003363A0" w:rsidRPr="005541D0" w:rsidRDefault="003363A0" w:rsidP="005541D0">
      <w:pPr>
        <w:spacing w:after="12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E1403DF" w14:textId="1745F82C" w:rsidR="003363A0" w:rsidRPr="005541D0" w:rsidRDefault="00D63F04" w:rsidP="00B00E08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5541D0">
        <w:rPr>
          <w:rFonts w:ascii="Calibri" w:hAnsi="Calibri" w:cs="Calibri"/>
          <w:b/>
          <w:bCs/>
          <w:sz w:val="24"/>
          <w:szCs w:val="24"/>
        </w:rPr>
        <w:t>ANA RIOS FONTOURA</w:t>
      </w:r>
    </w:p>
    <w:p w14:paraId="3A1A5FA4" w14:textId="7801F45E" w:rsidR="003363A0" w:rsidRDefault="003363A0" w:rsidP="00B00E08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5541D0">
        <w:rPr>
          <w:rFonts w:ascii="Calibri" w:hAnsi="Calibri" w:cs="Calibri"/>
          <w:b/>
          <w:bCs/>
          <w:sz w:val="24"/>
          <w:szCs w:val="24"/>
        </w:rPr>
        <w:t>Vereador</w:t>
      </w:r>
      <w:r w:rsidR="00D63F04" w:rsidRPr="005541D0">
        <w:rPr>
          <w:rFonts w:ascii="Calibri" w:hAnsi="Calibri" w:cs="Calibri"/>
          <w:b/>
          <w:bCs/>
          <w:sz w:val="24"/>
          <w:szCs w:val="24"/>
        </w:rPr>
        <w:t>a</w:t>
      </w:r>
    </w:p>
    <w:sectPr w:rsidR="003363A0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260CA"/>
    <w:multiLevelType w:val="hybridMultilevel"/>
    <w:tmpl w:val="6652DA5E"/>
    <w:lvl w:ilvl="0" w:tplc="21EA721E">
      <w:start w:val="5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9AC09FE"/>
    <w:multiLevelType w:val="hybridMultilevel"/>
    <w:tmpl w:val="050E3D94"/>
    <w:lvl w:ilvl="0" w:tplc="CB44A398">
      <w:start w:val="1"/>
      <w:numFmt w:val="upperRoman"/>
      <w:lvlText w:val="%1"/>
      <w:lvlJc w:val="left"/>
      <w:pPr>
        <w:ind w:left="230" w:hanging="11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w w:val="100"/>
        <w:sz w:val="21"/>
        <w:szCs w:val="21"/>
        <w:lang w:val="pt-PT" w:eastAsia="en-US" w:bidi="ar-SA"/>
      </w:rPr>
    </w:lvl>
    <w:lvl w:ilvl="1" w:tplc="88943C64">
      <w:numFmt w:val="bullet"/>
      <w:lvlText w:val="•"/>
      <w:lvlJc w:val="left"/>
      <w:pPr>
        <w:ind w:left="1202" w:hanging="117"/>
      </w:pPr>
      <w:rPr>
        <w:rFonts w:hint="default"/>
        <w:lang w:val="pt-PT" w:eastAsia="en-US" w:bidi="ar-SA"/>
      </w:rPr>
    </w:lvl>
    <w:lvl w:ilvl="2" w:tplc="3F6A1990">
      <w:numFmt w:val="bullet"/>
      <w:lvlText w:val="•"/>
      <w:lvlJc w:val="left"/>
      <w:pPr>
        <w:ind w:left="2165" w:hanging="117"/>
      </w:pPr>
      <w:rPr>
        <w:rFonts w:hint="default"/>
        <w:lang w:val="pt-PT" w:eastAsia="en-US" w:bidi="ar-SA"/>
      </w:rPr>
    </w:lvl>
    <w:lvl w:ilvl="3" w:tplc="049E95A0">
      <w:numFmt w:val="bullet"/>
      <w:lvlText w:val="•"/>
      <w:lvlJc w:val="left"/>
      <w:pPr>
        <w:ind w:left="3127" w:hanging="117"/>
      </w:pPr>
      <w:rPr>
        <w:rFonts w:hint="default"/>
        <w:lang w:val="pt-PT" w:eastAsia="en-US" w:bidi="ar-SA"/>
      </w:rPr>
    </w:lvl>
    <w:lvl w:ilvl="4" w:tplc="A97EB75E">
      <w:numFmt w:val="bullet"/>
      <w:lvlText w:val="•"/>
      <w:lvlJc w:val="left"/>
      <w:pPr>
        <w:ind w:left="4090" w:hanging="117"/>
      </w:pPr>
      <w:rPr>
        <w:rFonts w:hint="default"/>
        <w:lang w:val="pt-PT" w:eastAsia="en-US" w:bidi="ar-SA"/>
      </w:rPr>
    </w:lvl>
    <w:lvl w:ilvl="5" w:tplc="116A9596">
      <w:numFmt w:val="bullet"/>
      <w:lvlText w:val="•"/>
      <w:lvlJc w:val="left"/>
      <w:pPr>
        <w:ind w:left="5052" w:hanging="117"/>
      </w:pPr>
      <w:rPr>
        <w:rFonts w:hint="default"/>
        <w:lang w:val="pt-PT" w:eastAsia="en-US" w:bidi="ar-SA"/>
      </w:rPr>
    </w:lvl>
    <w:lvl w:ilvl="6" w:tplc="068A4E48">
      <w:numFmt w:val="bullet"/>
      <w:lvlText w:val="•"/>
      <w:lvlJc w:val="left"/>
      <w:pPr>
        <w:ind w:left="6015" w:hanging="117"/>
      </w:pPr>
      <w:rPr>
        <w:rFonts w:hint="default"/>
        <w:lang w:val="pt-PT" w:eastAsia="en-US" w:bidi="ar-SA"/>
      </w:rPr>
    </w:lvl>
    <w:lvl w:ilvl="7" w:tplc="8B527558">
      <w:numFmt w:val="bullet"/>
      <w:lvlText w:val="•"/>
      <w:lvlJc w:val="left"/>
      <w:pPr>
        <w:ind w:left="6977" w:hanging="117"/>
      </w:pPr>
      <w:rPr>
        <w:rFonts w:hint="default"/>
        <w:lang w:val="pt-PT" w:eastAsia="en-US" w:bidi="ar-SA"/>
      </w:rPr>
    </w:lvl>
    <w:lvl w:ilvl="8" w:tplc="4CEEDECA">
      <w:numFmt w:val="bullet"/>
      <w:lvlText w:val="•"/>
      <w:lvlJc w:val="left"/>
      <w:pPr>
        <w:ind w:left="7940" w:hanging="117"/>
      </w:pPr>
      <w:rPr>
        <w:rFonts w:hint="default"/>
        <w:lang w:val="pt-PT" w:eastAsia="en-US" w:bidi="ar-SA"/>
      </w:r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  <w:num w:numId="4" w16cid:durableId="375861121">
    <w:abstractNumId w:val="4"/>
  </w:num>
  <w:num w:numId="5" w16cid:durableId="16443073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06A06"/>
    <w:rsid w:val="000522B7"/>
    <w:rsid w:val="00085D5E"/>
    <w:rsid w:val="000E3185"/>
    <w:rsid w:val="00177236"/>
    <w:rsid w:val="001967DF"/>
    <w:rsid w:val="001B41FE"/>
    <w:rsid w:val="001E793E"/>
    <w:rsid w:val="00287633"/>
    <w:rsid w:val="002A2833"/>
    <w:rsid w:val="002B0E02"/>
    <w:rsid w:val="003176E7"/>
    <w:rsid w:val="003363A0"/>
    <w:rsid w:val="00383327"/>
    <w:rsid w:val="003B6EB6"/>
    <w:rsid w:val="003D08CC"/>
    <w:rsid w:val="003D4CBE"/>
    <w:rsid w:val="003D5D56"/>
    <w:rsid w:val="003E3CFE"/>
    <w:rsid w:val="003E4F05"/>
    <w:rsid w:val="0040206D"/>
    <w:rsid w:val="004170E4"/>
    <w:rsid w:val="0042572B"/>
    <w:rsid w:val="00471743"/>
    <w:rsid w:val="00497427"/>
    <w:rsid w:val="004C79CD"/>
    <w:rsid w:val="00525548"/>
    <w:rsid w:val="00531661"/>
    <w:rsid w:val="00537BA4"/>
    <w:rsid w:val="00544167"/>
    <w:rsid w:val="0055189A"/>
    <w:rsid w:val="005541D0"/>
    <w:rsid w:val="00571645"/>
    <w:rsid w:val="005803A5"/>
    <w:rsid w:val="005A2F3D"/>
    <w:rsid w:val="00701936"/>
    <w:rsid w:val="0077230E"/>
    <w:rsid w:val="0078178E"/>
    <w:rsid w:val="008269C2"/>
    <w:rsid w:val="00863E7D"/>
    <w:rsid w:val="00893DE3"/>
    <w:rsid w:val="008B3A79"/>
    <w:rsid w:val="008C6B6F"/>
    <w:rsid w:val="008E1508"/>
    <w:rsid w:val="00916655"/>
    <w:rsid w:val="00977452"/>
    <w:rsid w:val="009A1746"/>
    <w:rsid w:val="009B36EE"/>
    <w:rsid w:val="00A029A0"/>
    <w:rsid w:val="00A37ED3"/>
    <w:rsid w:val="00AD0757"/>
    <w:rsid w:val="00B006DE"/>
    <w:rsid w:val="00B00E08"/>
    <w:rsid w:val="00B20EFE"/>
    <w:rsid w:val="00B30A31"/>
    <w:rsid w:val="00B658FA"/>
    <w:rsid w:val="00B80F48"/>
    <w:rsid w:val="00BC4444"/>
    <w:rsid w:val="00BE0E92"/>
    <w:rsid w:val="00C06C8B"/>
    <w:rsid w:val="00C4030E"/>
    <w:rsid w:val="00C6397E"/>
    <w:rsid w:val="00C819CD"/>
    <w:rsid w:val="00C93918"/>
    <w:rsid w:val="00C97EE9"/>
    <w:rsid w:val="00D52EAC"/>
    <w:rsid w:val="00D63F04"/>
    <w:rsid w:val="00D745B9"/>
    <w:rsid w:val="00DC5BF5"/>
    <w:rsid w:val="00DD50F1"/>
    <w:rsid w:val="00E34667"/>
    <w:rsid w:val="00E464B1"/>
    <w:rsid w:val="00E6515F"/>
    <w:rsid w:val="00EA7219"/>
    <w:rsid w:val="00F22E8F"/>
    <w:rsid w:val="00F24638"/>
    <w:rsid w:val="00F82AB7"/>
    <w:rsid w:val="00F92B93"/>
    <w:rsid w:val="00FD30B4"/>
    <w:rsid w:val="00FE4561"/>
    <w:rsid w:val="00FF1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7D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E6515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4974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97427"/>
    <w:rPr>
      <w:rFonts w:ascii="Arial MT" w:eastAsia="Arial MT" w:hAnsi="Arial MT" w:cs="Arial MT"/>
      <w:sz w:val="21"/>
      <w:szCs w:val="21"/>
      <w:lang w:val="pt-PT"/>
    </w:rPr>
  </w:style>
  <w:style w:type="paragraph" w:styleId="NormalWeb">
    <w:name w:val="Normal (Web)"/>
    <w:basedOn w:val="Normal"/>
    <w:uiPriority w:val="99"/>
    <w:semiHidden/>
    <w:unhideWhenUsed/>
    <w:rsid w:val="0041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2B0E0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D5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-center">
    <w:name w:val="text-center"/>
    <w:basedOn w:val="Normal"/>
    <w:rsid w:val="00D5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orgao-dou">
    <w:name w:val="orgao-dou"/>
    <w:basedOn w:val="Fontepargpadro"/>
    <w:rsid w:val="00D52EAC"/>
  </w:style>
  <w:style w:type="character" w:customStyle="1" w:styleId="orgao-dou-data">
    <w:name w:val="orgao-dou-data"/>
    <w:basedOn w:val="Fontepargpadro"/>
    <w:rsid w:val="00D52EAC"/>
  </w:style>
  <w:style w:type="paragraph" w:customStyle="1" w:styleId="identifica">
    <w:name w:val="identifica"/>
    <w:basedOn w:val="Normal"/>
    <w:rsid w:val="00D5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7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48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EB265-F6D0-4169-9498-F7812953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3</cp:revision>
  <cp:lastPrinted>2025-02-18T18:56:00Z</cp:lastPrinted>
  <dcterms:created xsi:type="dcterms:W3CDTF">2025-04-01T18:28:00Z</dcterms:created>
  <dcterms:modified xsi:type="dcterms:W3CDTF">2025-04-01T18:58:00Z</dcterms:modified>
</cp:coreProperties>
</file>