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5067" w:rsidRPr="00A65067" w:rsidRDefault="00A65067" w:rsidP="00A65067">
      <w:pPr>
        <w:spacing w:after="0" w:line="240" w:lineRule="auto"/>
        <w:ind w:left="10" w:right="1" w:hanging="10"/>
        <w:jc w:val="center"/>
        <w:rPr>
          <w:rFonts w:eastAsia="Times New Roman" w:cstheme="minorHAnsi"/>
          <w:b/>
          <w:sz w:val="24"/>
          <w:szCs w:val="24"/>
          <w:u w:val="single"/>
          <w:lang w:eastAsia="pt-BR"/>
        </w:rPr>
      </w:pPr>
      <w:r w:rsidRPr="00A65067">
        <w:rPr>
          <w:rFonts w:eastAsia="Times New Roman" w:cstheme="minorHAnsi"/>
          <w:b/>
          <w:sz w:val="24"/>
          <w:szCs w:val="24"/>
          <w:u w:val="single"/>
          <w:lang w:eastAsia="pt-BR"/>
        </w:rPr>
        <w:t>LEI MUNICIPAL N.º 2.375, DE 22 DE FEVEREIRO DE 2022</w:t>
      </w:r>
    </w:p>
    <w:p w:rsidR="00A65067" w:rsidRPr="00A65067" w:rsidRDefault="00A65067" w:rsidP="00A65067">
      <w:pPr>
        <w:spacing w:after="0" w:line="240" w:lineRule="auto"/>
        <w:ind w:left="10" w:right="1" w:firstLine="709"/>
        <w:jc w:val="center"/>
        <w:rPr>
          <w:rFonts w:eastAsia="Times New Roman" w:cstheme="minorHAnsi"/>
          <w:b/>
          <w:sz w:val="24"/>
          <w:szCs w:val="24"/>
          <w:lang w:eastAsia="pt-BR"/>
        </w:rPr>
      </w:pPr>
    </w:p>
    <w:p w:rsidR="00A65067" w:rsidRPr="00A65067" w:rsidRDefault="00A65067" w:rsidP="00A65067">
      <w:pPr>
        <w:spacing w:after="0" w:line="240" w:lineRule="auto"/>
        <w:ind w:left="1416" w:right="1"/>
        <w:jc w:val="both"/>
        <w:rPr>
          <w:rFonts w:eastAsia="Times New Roman" w:cstheme="minorHAnsi"/>
          <w:i/>
          <w:sz w:val="24"/>
          <w:szCs w:val="24"/>
          <w:lang w:eastAsia="pt-BR"/>
        </w:rPr>
      </w:pPr>
      <w:r w:rsidRPr="00A65067">
        <w:rPr>
          <w:rFonts w:eastAsia="Times New Roman" w:cstheme="minorHAnsi"/>
          <w:i/>
          <w:sz w:val="24"/>
          <w:szCs w:val="24"/>
          <w:lang w:eastAsia="pt-BR"/>
        </w:rPr>
        <w:t xml:space="preserve">“Dispõe sobre </w:t>
      </w:r>
      <w:r w:rsidRPr="00A65067">
        <w:rPr>
          <w:rFonts w:eastAsia="Times New Roman" w:cstheme="minorHAnsi"/>
          <w:i/>
          <w:sz w:val="24"/>
          <w:szCs w:val="24"/>
          <w:lang w:eastAsia="x-none"/>
        </w:rPr>
        <w:t>definição de critérios para produção de justificação administrativa, com o objetivo de comprovação e verificação do cumprimento de requisitos legais para fins de concessão de benefícios previdenciários, e regulamenta a Comissão de Justificação Administrativa</w:t>
      </w:r>
      <w:r w:rsidRPr="00A65067">
        <w:rPr>
          <w:rFonts w:eastAsia="Times New Roman" w:cstheme="minorHAnsi"/>
          <w:i/>
          <w:sz w:val="24"/>
          <w:szCs w:val="24"/>
          <w:lang w:eastAsia="pt-BR"/>
        </w:rPr>
        <w:t>, e dá outras providencias.”</w:t>
      </w:r>
    </w:p>
    <w:p w:rsidR="00A65067" w:rsidRPr="00A65067" w:rsidRDefault="00A65067" w:rsidP="00A65067">
      <w:pPr>
        <w:spacing w:after="0" w:line="240" w:lineRule="auto"/>
        <w:ind w:left="1416" w:right="1"/>
        <w:jc w:val="both"/>
        <w:rPr>
          <w:rFonts w:eastAsia="Times New Roman" w:cstheme="minorHAnsi"/>
          <w:i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i/>
          <w:sz w:val="24"/>
          <w:szCs w:val="24"/>
          <w:lang w:eastAsia="pt-BR"/>
        </w:rPr>
        <w:t xml:space="preserve"> </w:t>
      </w:r>
    </w:p>
    <w:p w:rsidR="00A65067" w:rsidRPr="00A65067" w:rsidRDefault="00A65067" w:rsidP="00A65067">
      <w:pPr>
        <w:spacing w:after="0" w:line="240" w:lineRule="auto"/>
        <w:ind w:left="-15" w:firstLine="1433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sz w:val="24"/>
          <w:szCs w:val="24"/>
          <w:lang w:eastAsia="pt-BR"/>
        </w:rPr>
        <w:t xml:space="preserve">O </w:t>
      </w:r>
      <w:r w:rsidRPr="00A65067">
        <w:rPr>
          <w:rFonts w:eastAsia="Times New Roman" w:cstheme="minorHAnsi"/>
          <w:b/>
          <w:sz w:val="24"/>
          <w:szCs w:val="24"/>
          <w:lang w:eastAsia="pt-BR"/>
        </w:rPr>
        <w:t>Prefeito do Município de Nova Xavantina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, Estado de Mato Grosso, faz saber que a Câmara Municipal aprovou e ele sanciona a seguinte Lei: </w:t>
      </w:r>
    </w:p>
    <w:p w:rsidR="00A65067" w:rsidRPr="00A65067" w:rsidRDefault="00A65067" w:rsidP="00A6506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pacing w:after="0" w:line="240" w:lineRule="auto"/>
        <w:ind w:right="-2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TÍTULO ÚNICO</w:t>
      </w:r>
    </w:p>
    <w:p w:rsidR="00A65067" w:rsidRPr="00A65067" w:rsidRDefault="00A65067" w:rsidP="00A65067">
      <w:pPr>
        <w:spacing w:after="0" w:line="240" w:lineRule="auto"/>
        <w:ind w:right="-2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Da Justificação Administrativa no âmbito do Regime Próprio de Previdência Social do Município de Nova Xavantina, Mato Grosso, (PREVINX)</w:t>
      </w:r>
    </w:p>
    <w:p w:rsidR="00A65067" w:rsidRPr="00A65067" w:rsidRDefault="00A65067" w:rsidP="00A65067">
      <w:pPr>
        <w:spacing w:after="0" w:line="240" w:lineRule="auto"/>
        <w:ind w:right="-2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:rsidR="00A65067" w:rsidRPr="00A65067" w:rsidRDefault="00A65067" w:rsidP="00A65067">
      <w:pPr>
        <w:spacing w:after="0" w:line="240" w:lineRule="auto"/>
        <w:ind w:right="-2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CAPÍTULO I</w:t>
      </w:r>
    </w:p>
    <w:p w:rsidR="00A65067" w:rsidRPr="00A65067" w:rsidRDefault="00A65067" w:rsidP="00A65067">
      <w:pPr>
        <w:spacing w:after="0" w:line="240" w:lineRule="auto"/>
        <w:ind w:right="-2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 xml:space="preserve">Das Disposições Gerais e Preliminares </w:t>
      </w:r>
    </w:p>
    <w:p w:rsidR="00A65067" w:rsidRPr="00A65067" w:rsidRDefault="00A65067" w:rsidP="00A65067">
      <w:pPr>
        <w:spacing w:after="0" w:line="240" w:lineRule="auto"/>
        <w:ind w:right="-2" w:firstLine="709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:rsidR="00A65067" w:rsidRPr="00A65067" w:rsidRDefault="00A65067" w:rsidP="00A65067">
      <w:pPr>
        <w:spacing w:after="0" w:line="240" w:lineRule="auto"/>
        <w:ind w:right="-2"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Art. 1°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Para efeito do </w:t>
      </w:r>
      <w:r w:rsidRPr="00A65067">
        <w:rPr>
          <w:rFonts w:eastAsia="Times New Roman" w:cstheme="minorHAnsi"/>
          <w:bCs/>
          <w:sz w:val="24"/>
          <w:szCs w:val="24"/>
          <w:lang w:eastAsia="pt-BR"/>
        </w:rPr>
        <w:t xml:space="preserve">disposto na Lei Municipal nº 1.189 de 02 de outubro de 2009, que </w:t>
      </w:r>
      <w:r w:rsidRPr="00A65067">
        <w:rPr>
          <w:rFonts w:eastAsia="Times New Roman" w:cstheme="minorHAnsi"/>
          <w:bCs/>
          <w:i/>
          <w:sz w:val="24"/>
          <w:szCs w:val="24"/>
          <w:lang w:eastAsia="pt-BR"/>
        </w:rPr>
        <w:t>dispõe sobre o Regime Próprio de Previdência Social de Nova Xavantina-MT, e dá outras providências</w:t>
      </w:r>
      <w:r w:rsidRPr="00A65067">
        <w:rPr>
          <w:rFonts w:eastAsia="Times New Roman" w:cstheme="minorHAnsi"/>
          <w:sz w:val="24"/>
          <w:szCs w:val="24"/>
          <w:lang w:eastAsia="pt-BR"/>
        </w:rPr>
        <w:t>, vem regulamentar o procedimento de Justificação Administrativa no Fundo de previdência Municipal de Nova Xavantina-MT (PREVINX).</w:t>
      </w:r>
    </w:p>
    <w:p w:rsidR="00A65067" w:rsidRPr="00A65067" w:rsidRDefault="00A65067" w:rsidP="00A65067">
      <w:pPr>
        <w:spacing w:after="0" w:line="240" w:lineRule="auto"/>
        <w:ind w:right="-2"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pacing w:after="0" w:line="240" w:lineRule="auto"/>
        <w:ind w:right="-2"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Art. 2°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A Diretoria do Fundo Municipal de previdência Social deverá analisar os requerimentos administrativos de concessão de benefícios previdenciários, observados os requisitos legais exigidos.</w:t>
      </w:r>
    </w:p>
    <w:p w:rsidR="00A65067" w:rsidRPr="00A65067" w:rsidRDefault="00A65067" w:rsidP="00A65067">
      <w:pPr>
        <w:spacing w:after="0" w:line="240" w:lineRule="auto"/>
        <w:ind w:right="-2"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 xml:space="preserve">Art. 3º </w:t>
      </w:r>
      <w:r w:rsidRPr="00A65067">
        <w:rPr>
          <w:rFonts w:eastAsia="Times New Roman" w:cstheme="minorHAnsi"/>
          <w:sz w:val="24"/>
          <w:szCs w:val="24"/>
          <w:lang w:eastAsia="pt-BR"/>
        </w:rPr>
        <w:t>Sempre que houver necessidade de suprir a falta ou insuficiência de documento, ou produzir prova de fato ou circunstância de interesse dos beneficiários, perante a PREVINX, poderá ser instaurado procedimento de Justificação Administrativa (JÁ), mediante requerimento do interessado e sem ônus.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bookmarkStart w:id="0" w:name="art142§1"/>
      <w:bookmarkEnd w:id="0"/>
      <w:r w:rsidRPr="00A65067">
        <w:rPr>
          <w:rFonts w:eastAsia="Times New Roman" w:cstheme="minorHAnsi"/>
          <w:bCs/>
          <w:sz w:val="24"/>
          <w:szCs w:val="24"/>
          <w:lang w:eastAsia="pt-BR"/>
        </w:rPr>
        <w:t>§ 1</w:t>
      </w:r>
      <w:r w:rsidRPr="00A65067">
        <w:rPr>
          <w:rFonts w:eastAsia="Times New Roman" w:cstheme="minorHAnsi"/>
          <w:bCs/>
          <w:strike/>
          <w:sz w:val="24"/>
          <w:szCs w:val="24"/>
          <w:lang w:eastAsia="pt-BR"/>
        </w:rPr>
        <w:t>º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Não será admitida a justificação administrativa quando o fato a comprovar exigir registro público de casamento, de idade ou de óbito, ou de qualquer ato jurídico para o qual a lei prescreva forma especial.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bookmarkStart w:id="1" w:name="art142§2.0"/>
      <w:bookmarkEnd w:id="1"/>
      <w:r w:rsidRPr="00A65067">
        <w:rPr>
          <w:rFonts w:eastAsia="Times New Roman" w:cstheme="minorHAnsi"/>
          <w:bCs/>
          <w:sz w:val="24"/>
          <w:szCs w:val="24"/>
          <w:lang w:eastAsia="pt-BR"/>
        </w:rPr>
        <w:t>§ 2º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A justificação administrativa é parte do processo de atualização de dados ou de reconhecimento de direitos.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bookmarkStart w:id="2" w:name="art142§3.0"/>
      <w:bookmarkEnd w:id="2"/>
      <w:r w:rsidRPr="00A65067">
        <w:rPr>
          <w:rFonts w:eastAsia="Times New Roman" w:cstheme="minorHAnsi"/>
          <w:bCs/>
          <w:sz w:val="24"/>
          <w:szCs w:val="24"/>
          <w:lang w:eastAsia="pt-BR"/>
        </w:rPr>
        <w:t>§ 3</w:t>
      </w:r>
      <w:proofErr w:type="gramStart"/>
      <w:r w:rsidRPr="00A65067">
        <w:rPr>
          <w:rFonts w:eastAsia="Times New Roman" w:cstheme="minorHAnsi"/>
          <w:bCs/>
          <w:sz w:val="24"/>
          <w:szCs w:val="24"/>
          <w:lang w:eastAsia="pt-BR"/>
        </w:rPr>
        <w:t>º</w:t>
      </w:r>
      <w:r w:rsidRPr="00A65067">
        <w:rPr>
          <w:rFonts w:eastAsia="Times New Roman" w:cstheme="minorHAnsi"/>
          <w:sz w:val="24"/>
          <w:szCs w:val="24"/>
          <w:lang w:eastAsia="pt-BR"/>
        </w:rPr>
        <w:t>  Quando</w:t>
      </w:r>
      <w:proofErr w:type="gramEnd"/>
      <w:r w:rsidRPr="00A65067">
        <w:rPr>
          <w:rFonts w:eastAsia="Times New Roman" w:cstheme="minorHAnsi"/>
          <w:sz w:val="24"/>
          <w:szCs w:val="24"/>
          <w:lang w:eastAsia="pt-BR"/>
        </w:rPr>
        <w:t xml:space="preserve"> a concessão do benefício depender de documento ou de prova de ato ao qual o segurado não tenha acesso, exceto quanto a registro público ou início de prova material, a justificação administrativa será oportunizada.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 xml:space="preserve">Art. 4º </w:t>
      </w:r>
      <w:r w:rsidRPr="00A65067">
        <w:rPr>
          <w:rFonts w:eastAsia="Times New Roman" w:cstheme="minorHAnsi"/>
          <w:sz w:val="24"/>
          <w:szCs w:val="24"/>
          <w:lang w:eastAsia="pt-BR"/>
        </w:rPr>
        <w:t>O processamento da JA, para fins de comprovação de tempo de serviço ou de contribuição, dependência econômica, união estável, identidade e relação de parentesco, só produzirão efeitos quando baseadas em início de prova material, não sendo admitida prova exclusivamente testemunhal.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 xml:space="preserve">Art. 5º </w:t>
      </w:r>
      <w:r w:rsidRPr="00A65067">
        <w:rPr>
          <w:rFonts w:eastAsia="Times New Roman" w:cstheme="minorHAnsi"/>
          <w:sz w:val="24"/>
          <w:szCs w:val="24"/>
          <w:lang w:eastAsia="pt-BR"/>
        </w:rPr>
        <w:t>Deverá ser emitido carta de comunicação ao interessado, cientificando do prazo máximo de trinta dias para a apresentação do pedido da JA, com o devido registro no sistema corporativo de benefícios ou de atualização de dados.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 xml:space="preserve">Art. 6º </w:t>
      </w:r>
      <w:r w:rsidRPr="00A65067">
        <w:rPr>
          <w:rFonts w:eastAsia="Times New Roman" w:cstheme="minorHAnsi"/>
          <w:sz w:val="24"/>
          <w:szCs w:val="24"/>
          <w:lang w:eastAsia="pt-BR"/>
        </w:rPr>
        <w:t>O início de prova material deve ser contemporâneo aos fatos alegados.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Art. 7º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Servem como prova material, dentre outros, no que couber, os documentos citados nesta lei, ou mesmo em decretos regulamentares editados conjuntamente pela Diretoria, Conselho Fiscal e Conselho Curador da PREVINX. 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 xml:space="preserve">Art. 8º </w:t>
      </w:r>
      <w:r w:rsidRPr="00A65067">
        <w:rPr>
          <w:rFonts w:eastAsia="Times New Roman" w:cstheme="minorHAnsi"/>
          <w:sz w:val="24"/>
          <w:szCs w:val="24"/>
          <w:lang w:eastAsia="pt-BR"/>
        </w:rPr>
        <w:t>Para o processamento de justificação administrativa, o interessado deverá apresentar requerimento no qual exponha, clara e minuciosamente, os pontos que pretende justificar, além de indicar testemunhas idôneas, em número não inferior a 03 (três) nem superior a 06 (seis), cujos depoimentos possam levar à convicção da veracidade do que se pretende comprovar.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i/>
          <w:sz w:val="24"/>
          <w:szCs w:val="24"/>
          <w:lang w:eastAsia="pt-BR"/>
        </w:rPr>
        <w:t>Parágrafo único.</w:t>
      </w:r>
      <w:r w:rsidRPr="00A65067">
        <w:rPr>
          <w:rFonts w:eastAsia="Times New Roman" w:cstheme="minorHAnsi"/>
          <w:sz w:val="24"/>
          <w:szCs w:val="24"/>
          <w:lang w:eastAsia="pt-BR"/>
        </w:rPr>
        <w:t>  As testemunhas, no dia e nos horários marcados, serão inquiridas a respeito dos pontos que forem objeto da justificação de que trata o caput. 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 xml:space="preserve">Art. 9º </w:t>
      </w:r>
      <w:r w:rsidRPr="00A65067">
        <w:rPr>
          <w:rFonts w:eastAsia="Times New Roman" w:cstheme="minorHAnsi"/>
          <w:sz w:val="24"/>
          <w:szCs w:val="24"/>
          <w:lang w:eastAsia="pt-BR"/>
        </w:rPr>
        <w:t>A justificação administrativa será avaliada globalmente quanto à forma e ao mérito, valendo perante PREVINX, para os fins especificamente visados, caso considerada eficaz.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Art. 10.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A homologação da justificação judicial processada com base em prova exclusivamente testemunhal dispensa a justificação administrativa, desde que complementada com início de prova material contemporânea dos fatos.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CAPÍTULO II</w:t>
      </w:r>
    </w:p>
    <w:p w:rsidR="00A65067" w:rsidRPr="00A65067" w:rsidRDefault="00A65067" w:rsidP="00A65067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Da Comissão de Processamento e do Procedimento da Justificação Administrativa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709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Art. 11.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A justificação Administrativa será processada e conduzida por Comissão de Justificação Administrativa, instalada por solicitação da </w:t>
      </w: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Autoridade Competente para deferimento do benefício ou reconhecimento do objeto da justificação</w:t>
      </w:r>
      <w:r w:rsidRPr="00A65067">
        <w:rPr>
          <w:rFonts w:eastAsia="Times New Roman" w:cstheme="minorHAnsi"/>
          <w:sz w:val="24"/>
          <w:szCs w:val="24"/>
          <w:lang w:eastAsia="pt-BR"/>
        </w:rPr>
        <w:t>, nos casos e nas hipóteses legais de cabimento, bem como a requerimento dos interessados, na forma do prevista nesta lei.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lastRenderedPageBreak/>
        <w:t>Art. 12.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A Comissão de Justificação Administrativa será composta por 3 (três) servidores efetivos, e/ou aposentados, e designados por ato da </w:t>
      </w: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Autoridade Competente para deferimento do benefício ou reconhecimento do objeto da justificação</w:t>
      </w:r>
      <w:r w:rsidRPr="00A65067">
        <w:rPr>
          <w:rFonts w:eastAsia="Times New Roman" w:cstheme="minorHAnsi"/>
          <w:sz w:val="24"/>
          <w:szCs w:val="24"/>
          <w:lang w:eastAsia="pt-BR"/>
        </w:rPr>
        <w:t>, cabendo a esta a designação do respectivo Presidente da Comissão.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 xml:space="preserve">Art. 13. </w:t>
      </w:r>
      <w:r w:rsidRPr="00A65067">
        <w:rPr>
          <w:rFonts w:eastAsia="Times New Roman" w:cstheme="minorHAnsi"/>
          <w:sz w:val="24"/>
          <w:szCs w:val="24"/>
          <w:lang w:eastAsia="pt-BR"/>
        </w:rPr>
        <w:t>É impedido de atuar como integrante da Comissão de Justificação Administrativa o servidor que: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I -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for parente, consanguíneo ou afim, do interessado, em linha reta ou, na colateral, até o terceiro grau; e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II -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quando estiver postulando no processo administrativo, como advogado do interessado, o seu cônjuge ou qualquer parente seu, consanguíneo ou afim, em linha reta; ou na linha colateral até o segundo grau.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Art. 14.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Reputa-se suspeita a parcialidade do integrante da Comissão quando: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I -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amigo íntimo ou inimigo capital do interessado;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II -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o interessado for credor ou devedor do integrante, de seu cônjuge ou de parentes destes, em linha reta ou na colateral até o terceiro grau;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III -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herdeiro presuntivo ou donatário do interessado;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IV -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receber dádivas antes ou depois de iniciado o processo; e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V -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interessado no julgamento da causa em favor do interessado.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proofErr w:type="spellStart"/>
      <w:r w:rsidRPr="00A65067">
        <w:rPr>
          <w:rFonts w:eastAsia="Times New Roman" w:cstheme="minorHAnsi"/>
          <w:bCs/>
          <w:i/>
          <w:sz w:val="24"/>
          <w:szCs w:val="24"/>
          <w:lang w:eastAsia="pt-BR"/>
        </w:rPr>
        <w:t>Paragrafo</w:t>
      </w:r>
      <w:proofErr w:type="spellEnd"/>
      <w:r w:rsidRPr="00A65067">
        <w:rPr>
          <w:rFonts w:eastAsia="Times New Roman" w:cstheme="minorHAnsi"/>
          <w:bCs/>
          <w:i/>
          <w:sz w:val="24"/>
          <w:szCs w:val="24"/>
          <w:lang w:eastAsia="pt-BR"/>
        </w:rPr>
        <w:t xml:space="preserve"> único.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Nos casos de impedimento, suspeição ou ausência de um dos integrantes da Comissão, poderá ser designado </w:t>
      </w:r>
      <w:r w:rsidRPr="00A65067">
        <w:rPr>
          <w:rFonts w:eastAsia="Times New Roman" w:cstheme="minorHAnsi"/>
          <w:i/>
          <w:sz w:val="24"/>
          <w:szCs w:val="24"/>
          <w:lang w:eastAsia="pt-BR"/>
        </w:rPr>
        <w:t>ad hoc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outro servidor.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Art. 15.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A Comissão de Justificação Administrativa poderá solicitar, através de comunicação prévia ao Requerente, que apresente complementação de documentos, testemunhas idôneas, em número não inferior a 03 (três) nem superior a 06 (seis), cujos depoimentos possam levar à convicção da veracidade do que se pretende comprovar, caso haja necessidade durante a análise do pedido, ou a realização de quaisquer atos necessários a produção das provas objeto da justificação.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Art. 16.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Em dia e hora marcados, as testemunhas serão inquiridas a respeito dos pontos que forem objeto da justificação, não sendo o justificante obrigado a permanecer presente à oitiva.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Art. 17.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Por ocasião do processamento de justificação administrativa, será lavrado o Termo de Assentada, consignando-se a presença ou ausência do justificante ou de seu procurador, para, posteriormente, passar-se à inquirição das testemunhas e tomar a termo os depoimentos.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lastRenderedPageBreak/>
        <w:t>Art. 18.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As testemunhas deverão ser ouvidas separadamente, de modo que o depoimento de uma nunca seja presenciado ou ouvido por outra.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Art. 19.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Dos Termos de Depoimentos deverão constar, inicialmente, a qualificação da testemunha, consignando-se o nome completo, a nacionalidade, a naturalidade, o estado civil, a profissão, especificando o cargo ou a função, a idade e o endereço residencial, à vista do seu documento de identificação, que será mencionado.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Art. 20.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A testemunha será advertida das penas cominadas no art. 299 do Código Penal em caso de falso testemunho.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Art. 21.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O requerimento será lido em voz alta pelo Presidente da Comissão ou, sinteticamente, explicitado, para que a testemunha ou o depoente se inteirem do conteúdo do processo.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Art. 22.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Se o justificante estiver presente no ato da indagação da testemunha, poderá formular perguntas, as quais serão dirigidas ao Presidente da Comissão, que as formulará à testemunha, podendo indeferir as que entender impertinentes, fazendo constar do termo a ocorrência.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Art. 23.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Terminada a oitiva de cada depoente, o termo será lido e assinado pelos integrantes da Comissão, pelo próprio depoente, pelo justificante ou seu procurador, se presentes, que deverão, também, obrigatoriamente, rubricar todas as folhas.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Art. 24.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Não podem ser testemunhas: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I -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o que, acometido por enfermidade ou por debilidade mental à época de ocorrência dos fatos, não podia discerni-los; ou, ao tempo sobre o qual deve depor, não estiver habilitado a transmitir as percepções;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II -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os menores de dezesseis anos;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III -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o cego e o surdo, quando a ciência do fato depender dos sentidos que lhes faltam;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IV -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o cônjuge, bem como o ascendente e o descendente em qualquer grau;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V -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o colateral, até terceiro grau, assim como os irmãos e as irmãs, os tios e tias, os sobrinhos e sobrinhas, os cunhados e as cunhadas, as noras e os genros ou qualquer outro por consanguinidade ou por afinidade do Requerente;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VI -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o que é parte interessada;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VII -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o que intervém em nome do Requerente;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VIII -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o condenado por crime de falso testemunho, havendo transitado em julgado a sentença.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CAPÍTULO III</w:t>
      </w:r>
    </w:p>
    <w:p w:rsidR="00A65067" w:rsidRPr="00A65067" w:rsidRDefault="00A65067" w:rsidP="00A65067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Da comprovação de União Estável e da Dependência Econômica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709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Art. 25.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Para fins de comprovação da união estável e da dependência econômica, conforme o caso devem ser apresentados, no mínimo, três dos seguintes documentos: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I -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certidão de nascimento de filho havido em comum;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II -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certidão de casamento religioso;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III -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declaração do imposto de renda do segurado, em que conste o interessado como seu dependente;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IV -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disposições testamentárias;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V -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declaração especial feita perante tabelião;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VI -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prova de mesmo domicílio;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VII -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prova de encargos domésticos evidentes e existência de sociedade ou comunhão nos atos da vida civil;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VIII -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procuração ou fiança reciprocamente outorgada;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IX -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conta bancária conjunta;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X -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registro em associação de qualquer natureza, onde conste o interessado como dependente do segurado;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XI -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anotação constante de ficha ou livro de registro de empregados;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XII -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apólice de seguro da qual conste o segurado como instituidor do seguro e a pessoa interessada como sua beneficiária;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XIII -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ficha de tratamento em instituição de assistência médica, da qual conste o segurado como responsável;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XIV -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escritura de compra e venda de imóvel pelo segurado em nome de dependente;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XV -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declaração de não emancipação do dependente menor de 21 (vinte e um) anos;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sz w:val="24"/>
          <w:szCs w:val="24"/>
          <w:lang w:eastAsia="pt-BR"/>
        </w:rPr>
        <w:t>XVI – Ficha cadastro no programa de saúde da família, ou na ficha de paciente de instituição medica/hospitalar; ou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sz w:val="24"/>
          <w:szCs w:val="24"/>
          <w:lang w:eastAsia="pt-BR"/>
        </w:rPr>
        <w:t>XVII – Inventário de partilha de bens;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XVIII -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quaisquer outros que possam levar à convicção do fato a comprovar.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§ 1º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Os três documentos a serem apresentados na forma do caput, podem ser do mesmo tipo ou diferentes, desde que demonstrem a existência de vínculo ou dependência econômica, conforme ocaso, entre o segurado e o dependente.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bCs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§ 2º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Caso o dependente possua apenas um ou dois dos documentos enumerados no caput, deverá ser oportunizado o processamento de Justificação Administrativa - JA.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lastRenderedPageBreak/>
        <w:t>Art. 26.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No caso de ausência de 03 (três) dos documentos acima citados, mas presente, ao menos, 01 (um) deles (início de prova material), ou em caso de dúvida fundada da Administração, a comprovação do vínculo de união estável poderá ser realizada por meio de prova testemunhal produzida em justificação administrativa.</w:t>
      </w:r>
    </w:p>
    <w:p w:rsidR="00A65067" w:rsidRPr="00A65067" w:rsidRDefault="00A65067" w:rsidP="00A65067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CAPÍTULO IV</w:t>
      </w:r>
    </w:p>
    <w:p w:rsidR="00A65067" w:rsidRPr="00A65067" w:rsidRDefault="00A65067" w:rsidP="00A65067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Disposições Finais e Transitórias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709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Art. 27.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A ausência do justificante ou de seu procurador previamente intimados por meios idôneos para comparecer à audiência de justificação administrativa, não importará em nulidade do procedimento.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Art. 28.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Finalizada a instrução pela Comissão, o processo seguirá concluso à autoridade que houver designado a instauração do procedimento, a quem competirá homologar ou não a justificação realizada.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Art. 29.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A homologação, quanto à forma, é de competência da Comissão de Justificação Administrativa, que deverá elaborar relatório sucinto dos fatos colhidos, mencionando sua impressão a respeito da idoneidade das testemunhas e opinando, conclusivamente, sobre as provas materiais produzidas nos autos.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Art. 30.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A homologação, quanto ao mérito, após manifestação da Comissão de Justificação Administrativa, é de incumbência da </w:t>
      </w: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Autoridade Competente para deferimento do benefício ou reconhecimento do objeto da justificação</w:t>
      </w:r>
      <w:r w:rsidRPr="00A65067">
        <w:rPr>
          <w:rFonts w:eastAsia="Times New Roman" w:cstheme="minorHAnsi"/>
          <w:sz w:val="24"/>
          <w:szCs w:val="24"/>
          <w:lang w:eastAsia="pt-BR"/>
        </w:rPr>
        <w:t>, que autorizou e solicitou o seu processamento.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12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Art. 31.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Os membros da Comissão de Justificação Administrativa não farão jus ao recebimento de gratificações, sendo atividade de relevante interesse público.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Art. 32.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Servidores que estiverem prestando serviços à PREVINX por meio de termo de Cooperação estão impedidos de participar da Comissão de Justificação Administrativa.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Art. 33.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Os casos omissos serão submetidos aos órgãos de controle e assessoramento, com posterior regulamentação por meio de ato conjunto emitido pela Diretoria, Conselho Fiscal e Conselho Curador da PREVINX.</w:t>
      </w: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:rsidR="00A65067" w:rsidRPr="00A65067" w:rsidRDefault="00A65067" w:rsidP="00A65067">
      <w:pPr>
        <w:shd w:val="clear" w:color="auto" w:fill="FFFFFF"/>
        <w:spacing w:after="0" w:line="240" w:lineRule="auto"/>
        <w:ind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>Art. 34.</w:t>
      </w:r>
      <w:r w:rsidRPr="00A65067">
        <w:rPr>
          <w:rFonts w:eastAsia="Times New Roman" w:cstheme="minorHAnsi"/>
          <w:sz w:val="24"/>
          <w:szCs w:val="24"/>
          <w:lang w:eastAsia="pt-BR"/>
        </w:rPr>
        <w:t xml:space="preserve"> A Justificação Administrativa poderá ser processada por meios eletrônicos, conforme procedimentos definidos em ato específico.</w:t>
      </w:r>
    </w:p>
    <w:p w:rsidR="00A65067" w:rsidRPr="00A65067" w:rsidRDefault="00A65067" w:rsidP="00A65067">
      <w:pPr>
        <w:spacing w:after="0" w:line="240" w:lineRule="auto"/>
        <w:ind w:left="-15" w:firstLine="1418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:rsidR="00A65067" w:rsidRPr="00A65067" w:rsidRDefault="00A65067" w:rsidP="00A65067">
      <w:pPr>
        <w:spacing w:after="0" w:line="240" w:lineRule="auto"/>
        <w:ind w:left="-15" w:firstLine="1418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:rsidR="00A65067" w:rsidRPr="00A65067" w:rsidRDefault="00A65067" w:rsidP="00A65067">
      <w:pPr>
        <w:spacing w:after="0" w:line="240" w:lineRule="auto"/>
        <w:ind w:left="-15"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lastRenderedPageBreak/>
        <w:t xml:space="preserve">Art. 35. </w:t>
      </w:r>
      <w:r w:rsidRPr="00A65067">
        <w:rPr>
          <w:rFonts w:eastAsia="Times New Roman" w:cstheme="minorHAnsi"/>
          <w:sz w:val="24"/>
          <w:szCs w:val="24"/>
          <w:lang w:eastAsia="pt-BR"/>
        </w:rPr>
        <w:t>Revogadas as disposições em contrário.</w:t>
      </w:r>
    </w:p>
    <w:p w:rsidR="00A65067" w:rsidRPr="00A65067" w:rsidRDefault="00A65067" w:rsidP="00A65067">
      <w:pPr>
        <w:spacing w:after="0" w:line="240" w:lineRule="auto"/>
        <w:ind w:left="-15" w:firstLine="1418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5067" w:rsidRPr="00A65067" w:rsidRDefault="00A65067" w:rsidP="00A65067">
      <w:pPr>
        <w:spacing w:after="0" w:line="240" w:lineRule="auto"/>
        <w:ind w:left="-15" w:firstLine="1418"/>
        <w:jc w:val="both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 xml:space="preserve">Art. 36. </w:t>
      </w:r>
      <w:r w:rsidRPr="00A65067">
        <w:rPr>
          <w:rFonts w:eastAsia="Times New Roman" w:cstheme="minorHAnsi"/>
          <w:sz w:val="24"/>
          <w:szCs w:val="24"/>
          <w:lang w:eastAsia="pt-BR"/>
        </w:rPr>
        <w:t>Esta Lei entra em vigor na data de sua publicação, produzindo seus efeitos de forma imediata.</w:t>
      </w:r>
    </w:p>
    <w:p w:rsidR="00A65067" w:rsidRPr="00A65067" w:rsidRDefault="00A65067" w:rsidP="00A65067">
      <w:pPr>
        <w:spacing w:after="0" w:line="240" w:lineRule="auto"/>
        <w:ind w:left="10" w:hanging="10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:rsidR="00A65067" w:rsidRPr="00A65067" w:rsidRDefault="00A65067" w:rsidP="00A65067">
      <w:pPr>
        <w:spacing w:after="0" w:line="240" w:lineRule="auto"/>
        <w:ind w:left="10" w:hanging="10"/>
        <w:jc w:val="both"/>
        <w:rPr>
          <w:rFonts w:eastAsia="Times New Roman" w:cstheme="minorHAnsi"/>
          <w:bCs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Palácio dos Pioneiros, Gabinete do Prefeito Municipal, Nova Xavantina – MT, 22 de fevereiro de 2022.</w:t>
      </w:r>
    </w:p>
    <w:p w:rsidR="00A65067" w:rsidRPr="00A65067" w:rsidRDefault="00A65067" w:rsidP="00A65067">
      <w:pPr>
        <w:spacing w:after="0" w:line="240" w:lineRule="auto"/>
        <w:ind w:left="10" w:hanging="10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:rsidR="00A65067" w:rsidRPr="00A65067" w:rsidRDefault="00A65067" w:rsidP="00A65067">
      <w:pPr>
        <w:spacing w:after="0" w:line="240" w:lineRule="auto"/>
        <w:ind w:left="10" w:hanging="10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:rsidR="00A65067" w:rsidRPr="00A65067" w:rsidRDefault="00A65067" w:rsidP="00A65067">
      <w:pPr>
        <w:spacing w:after="0" w:line="240" w:lineRule="auto"/>
        <w:ind w:left="10" w:hanging="10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:rsidR="00A65067" w:rsidRPr="00A65067" w:rsidRDefault="00A65067" w:rsidP="00A65067">
      <w:pPr>
        <w:spacing w:after="0" w:line="240" w:lineRule="auto"/>
        <w:ind w:left="10" w:hanging="10"/>
        <w:jc w:val="center"/>
        <w:rPr>
          <w:rFonts w:eastAsia="Times New Roman" w:cstheme="minorHAnsi"/>
          <w:bCs/>
          <w:sz w:val="24"/>
          <w:szCs w:val="24"/>
          <w:lang w:eastAsia="pt-BR"/>
        </w:rPr>
      </w:pPr>
      <w:r w:rsidRPr="00A65067">
        <w:rPr>
          <w:rFonts w:eastAsia="Times New Roman" w:cstheme="minorHAnsi"/>
          <w:b/>
          <w:bCs/>
          <w:sz w:val="24"/>
          <w:szCs w:val="24"/>
          <w:lang w:eastAsia="pt-BR"/>
        </w:rPr>
        <w:t xml:space="preserve">João Machado Neto – </w:t>
      </w:r>
      <w:r w:rsidRPr="00A65067">
        <w:rPr>
          <w:rFonts w:eastAsia="Times New Roman" w:cstheme="minorHAnsi"/>
          <w:bCs/>
          <w:sz w:val="24"/>
          <w:szCs w:val="24"/>
          <w:lang w:eastAsia="pt-BR"/>
        </w:rPr>
        <w:t>João Bang</w:t>
      </w:r>
    </w:p>
    <w:p w:rsidR="00A65067" w:rsidRPr="00A65067" w:rsidRDefault="00A65067" w:rsidP="00A65067">
      <w:pPr>
        <w:spacing w:after="0" w:line="240" w:lineRule="auto"/>
        <w:ind w:left="10" w:hanging="10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A65067">
        <w:rPr>
          <w:rFonts w:eastAsia="Times New Roman" w:cstheme="minorHAnsi"/>
          <w:bCs/>
          <w:sz w:val="24"/>
          <w:szCs w:val="24"/>
          <w:lang w:eastAsia="pt-BR"/>
        </w:rPr>
        <w:t>Prefeito Municipal</w:t>
      </w:r>
    </w:p>
    <w:p w:rsidR="00A65067" w:rsidRPr="00A65067" w:rsidRDefault="00A65067" w:rsidP="00A65067">
      <w:pPr>
        <w:spacing w:after="0" w:line="240" w:lineRule="auto"/>
        <w:ind w:left="10" w:hanging="10"/>
        <w:jc w:val="center"/>
        <w:rPr>
          <w:rFonts w:eastAsia="Times New Roman" w:cstheme="minorHAnsi"/>
          <w:sz w:val="24"/>
          <w:szCs w:val="24"/>
          <w:lang w:eastAsia="pt-BR"/>
        </w:rPr>
      </w:pPr>
    </w:p>
    <w:p w:rsidR="00D913CC" w:rsidRDefault="00D913CC">
      <w:bookmarkStart w:id="3" w:name="_GoBack"/>
      <w:bookmarkEnd w:id="3"/>
    </w:p>
    <w:sectPr w:rsidR="00D913CC" w:rsidSect="00BA53E4">
      <w:headerReference w:type="even" r:id="rId4"/>
      <w:headerReference w:type="default" r:id="rId5"/>
      <w:footerReference w:type="default" r:id="rId6"/>
      <w:headerReference w:type="first" r:id="rId7"/>
      <w:pgSz w:w="11906" w:h="16838"/>
      <w:pgMar w:top="1440" w:right="845" w:bottom="1440" w:left="1702" w:header="255" w:footer="9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36065933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BA53E4" w:rsidRPr="00BA53E4" w:rsidRDefault="00A65067">
        <w:pPr>
          <w:pStyle w:val="Rodap"/>
          <w:jc w:val="right"/>
          <w:rPr>
            <w:sz w:val="16"/>
            <w:szCs w:val="16"/>
          </w:rPr>
        </w:pPr>
        <w:r w:rsidRPr="00BA53E4">
          <w:rPr>
            <w:sz w:val="16"/>
            <w:szCs w:val="16"/>
          </w:rPr>
          <w:fldChar w:fldCharType="begin"/>
        </w:r>
        <w:r w:rsidRPr="00BA53E4">
          <w:rPr>
            <w:sz w:val="16"/>
            <w:szCs w:val="16"/>
          </w:rPr>
          <w:instrText>PAGE   \* MERGEFORMAT</w:instrText>
        </w:r>
        <w:r w:rsidRPr="00BA53E4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2</w:t>
        </w:r>
        <w:r w:rsidRPr="00BA53E4">
          <w:rPr>
            <w:sz w:val="16"/>
            <w:szCs w:val="16"/>
          </w:rPr>
          <w:fldChar w:fldCharType="end"/>
        </w:r>
      </w:p>
    </w:sdtContent>
  </w:sdt>
  <w:p w:rsidR="00BA53E4" w:rsidRPr="00081A5F" w:rsidRDefault="00A65067" w:rsidP="00BA53E4">
    <w:pPr>
      <w:pStyle w:val="Cabealho"/>
      <w:ind w:firstLine="0"/>
      <w:jc w:val="center"/>
      <w:rPr>
        <w:rFonts w:ascii="Calibri" w:hAnsi="Calibri" w:cs="Calibri"/>
        <w:sz w:val="16"/>
        <w:szCs w:val="16"/>
      </w:rPr>
    </w:pPr>
    <w:r w:rsidRPr="00081A5F">
      <w:rPr>
        <w:rFonts w:ascii="Calibri" w:hAnsi="Calibri" w:cs="Calibri"/>
        <w:sz w:val="16"/>
        <w:szCs w:val="16"/>
      </w:rPr>
      <w:t xml:space="preserve">Avenida Expedição Roncador Xingu, n.º 249 – Centro – </w:t>
    </w:r>
    <w:hyperlink r:id="rId1" w:history="1">
      <w:r w:rsidRPr="00081A5F">
        <w:rPr>
          <w:rStyle w:val="Hyperlink"/>
          <w:rFonts w:ascii="Calibri" w:hAnsi="Calibri" w:cs="Calibri"/>
          <w:sz w:val="16"/>
          <w:szCs w:val="16"/>
        </w:rPr>
        <w:t>www.novaxavantina.mt.gov.br</w:t>
      </w:r>
    </w:hyperlink>
  </w:p>
  <w:p w:rsidR="00BA53E4" w:rsidRPr="00BA53E4" w:rsidRDefault="00A65067" w:rsidP="00BA53E4">
    <w:pPr>
      <w:pStyle w:val="Cabealho"/>
      <w:ind w:firstLine="0"/>
      <w:jc w:val="center"/>
      <w:rPr>
        <w:rFonts w:ascii="Calibri" w:hAnsi="Calibri" w:cs="Calibri"/>
        <w:sz w:val="16"/>
        <w:szCs w:val="16"/>
      </w:rPr>
    </w:pPr>
    <w:r w:rsidRPr="00081A5F">
      <w:rPr>
        <w:rFonts w:ascii="Calibri" w:hAnsi="Calibri" w:cs="Calibri"/>
        <w:sz w:val="16"/>
        <w:szCs w:val="16"/>
      </w:rPr>
      <w:t>Nova Xavantina/MT – CEP 78.690-000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7C4B" w:rsidRDefault="00A65067">
    <w:pPr>
      <w:spacing w:after="0"/>
      <w:ind w:left="57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422A342" wp14:editId="7FDDF1AA">
          <wp:simplePos x="0" y="0"/>
          <wp:positionH relativeFrom="page">
            <wp:posOffset>3581400</wp:posOffset>
          </wp:positionH>
          <wp:positionV relativeFrom="page">
            <wp:posOffset>161925</wp:posOffset>
          </wp:positionV>
          <wp:extent cx="950595" cy="885825"/>
          <wp:effectExtent l="0" t="0" r="0" b="0"/>
          <wp:wrapSquare wrapText="bothSides"/>
          <wp:docPr id="1" name="Picture 179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4" name="Picture 179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50595" cy="885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  <w:p w:rsidR="00817C4B" w:rsidRDefault="00A65067"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08D0D09" wp14:editId="3E39B290">
              <wp:simplePos x="0" y="0"/>
              <wp:positionH relativeFrom="page">
                <wp:posOffset>1062533</wp:posOffset>
              </wp:positionH>
              <wp:positionV relativeFrom="page">
                <wp:posOffset>1821434</wp:posOffset>
              </wp:positionV>
              <wp:extent cx="5978018" cy="27432"/>
              <wp:effectExtent l="0" t="0" r="0" b="0"/>
              <wp:wrapNone/>
              <wp:docPr id="16444" name="Group 1644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78018" cy="27432"/>
                        <a:chOff x="0" y="0"/>
                        <a:chExt cx="5978018" cy="27432"/>
                      </a:xfrm>
                    </wpg:grpSpPr>
                    <wps:wsp>
                      <wps:cNvPr id="17269" name="Shape 17269"/>
                      <wps:cNvSpPr/>
                      <wps:spPr>
                        <a:xfrm>
                          <a:off x="0" y="18288"/>
                          <a:ext cx="597801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78018" h="9144">
                              <a:moveTo>
                                <a:pt x="0" y="0"/>
                              </a:moveTo>
                              <a:lnTo>
                                <a:pt x="5978018" y="0"/>
                              </a:lnTo>
                              <a:lnTo>
                                <a:pt x="597801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7270" name="Shape 17270"/>
                      <wps:cNvSpPr/>
                      <wps:spPr>
                        <a:xfrm>
                          <a:off x="0" y="0"/>
                          <a:ext cx="597801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78018" h="9144">
                              <a:moveTo>
                                <a:pt x="0" y="0"/>
                              </a:moveTo>
                              <a:lnTo>
                                <a:pt x="5978018" y="0"/>
                              </a:lnTo>
                              <a:lnTo>
                                <a:pt x="597801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891C38E" id="Group 16444" o:spid="_x0000_s1026" style="position:absolute;margin-left:83.65pt;margin-top:143.4pt;width:470.7pt;height:2.15pt;z-index:-251656192;mso-position-horizontal-relative:page;mso-position-vertical-relative:page" coordsize="59780,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">
              <v:shape id="Shape 17269" o:spid="_x0000_s1027" style="position:absolute;top:182;width:59780;height:92;visibility:visible;mso-wrap-style:square;v-text-anchor:top" coordsize="597801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y6YMIA&#10;AADeAAAADwAAAGRycy9kb3ducmV2LnhtbERPS4vCMBC+C/sfwizsTZP24KMaZZGVrUcfIN6GZmyL&#10;zaQ0Ubv/fiMI3ubje85i1dtG3KnztWMNyUiBIC6cqbnUcDxshlMQPiAbbByThj/ysFp+DBaYGffg&#10;Hd33oRQxhH2GGqoQ2kxKX1Rk0Y9cSxy5i+sshgi7UpoOHzHcNjJVaiwt1hwbKmxpXVFx3d+shjax&#10;2988pKdZkk/q9fmklOp/tP767L/nIAL14S1+uXMT50/S8Qye78Qb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fLpgwgAAAN4AAAAPAAAAAAAAAAAAAAAAAJgCAABkcnMvZG93&#10;bnJldi54bWxQSwUGAAAAAAQABAD1AAAAhwMAAAAA&#10;" path="m,l5978018,r,9144l,9144,,e" fillcolor="black" stroked="f" strokeweight="0">
                <v:stroke miterlimit="83231f" joinstyle="miter"/>
                <v:path arrowok="t" textboxrect="0,0,5978018,9144"/>
              </v:shape>
              <v:shape id="Shape 17270" o:spid="_x0000_s1028" style="position:absolute;width:59780;height:91;visibility:visible;mso-wrap-style:square;v-text-anchor:top" coordsize="597801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+FIMYA&#10;AADeAAAADwAAAGRycy9kb3ducmV2LnhtbESPQW/CMAyF75P2HyJP4jaS9rCyjoAmtGnlCExCu1mN&#10;11ZrnKrJoPx7fEDiZsvP771vuZ58r040xi6whWxuQBHXwXXcWPg+fD4vQMWE7LAPTBYuFGG9enxY&#10;YunCmXd02qdGiQnHEi20KQ2l1rFuyWOch4FYbr9h9JhkHRvtRjyLue91bsyL9tixJLQ40Kal+m//&#10;7y0Mmd9+VSk/vmZV0W1+jsaY6cPa2dP0/gYq0ZTu4tt35aR+kRcCIDgyg15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p+FIMYAAADeAAAADwAAAAAAAAAAAAAAAACYAgAAZHJz&#10;L2Rvd25yZXYueG1sUEsFBgAAAAAEAAQA9QAAAIsDAAAAAA==&#10;" path="m,l5978018,r,9144l,9144,,e" fillcolor="black" stroked="f" strokeweight="0">
                <v:stroke miterlimit="83231f" joinstyle="miter"/>
                <v:path arrowok="t" textboxrect="0,0,5978018,9144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3E4" w:rsidRDefault="00A65067" w:rsidP="00BA53E4">
    <w:pPr>
      <w:pStyle w:val="Cabealho"/>
      <w:jc w:val="center"/>
    </w:pPr>
    <w:r>
      <w:rPr>
        <w:noProof/>
      </w:rPr>
      <w:drawing>
        <wp:anchor distT="0" distB="0" distL="114300" distR="114300" simplePos="0" relativeHeight="251663360" behindDoc="0" locked="0" layoutInCell="1" allowOverlap="1" wp14:anchorId="4684232B" wp14:editId="5645FA4B">
          <wp:simplePos x="0" y="0"/>
          <wp:positionH relativeFrom="margin">
            <wp:posOffset>2420620</wp:posOffset>
          </wp:positionH>
          <wp:positionV relativeFrom="paragraph">
            <wp:posOffset>123190</wp:posOffset>
          </wp:positionV>
          <wp:extent cx="878205" cy="812165"/>
          <wp:effectExtent l="0" t="0" r="0" b="6985"/>
          <wp:wrapSquare wrapText="bothSides"/>
          <wp:docPr id="2" name="Imagem 2" descr="http://site.pciconcursos.com.br/i/32f5b870af36636f0b188d243da67be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site.pciconcursos.com.br/i/32f5b870af36636f0b188d243da67be6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8205" cy="8121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A53E4" w:rsidRDefault="00A65067" w:rsidP="00BA53E4">
    <w:pPr>
      <w:pStyle w:val="Cabealho"/>
      <w:jc w:val="center"/>
      <w:rPr>
        <w:sz w:val="16"/>
        <w:szCs w:val="16"/>
      </w:rPr>
    </w:pPr>
  </w:p>
  <w:p w:rsidR="00BA53E4" w:rsidRPr="00C51A5D" w:rsidRDefault="00A65067" w:rsidP="00BA53E4">
    <w:pPr>
      <w:pStyle w:val="Cabealho"/>
      <w:jc w:val="center"/>
      <w:rPr>
        <w:sz w:val="16"/>
        <w:szCs w:val="16"/>
      </w:rPr>
    </w:pPr>
  </w:p>
  <w:p w:rsidR="00BA53E4" w:rsidRDefault="00A65067" w:rsidP="00BA53E4">
    <w:pPr>
      <w:pStyle w:val="Cabealho"/>
      <w:ind w:firstLine="0"/>
      <w:jc w:val="center"/>
      <w:rPr>
        <w:rFonts w:asciiTheme="minorHAnsi" w:hAnsiTheme="minorHAnsi" w:cstheme="minorHAnsi"/>
        <w:b/>
        <w:sz w:val="26"/>
        <w:szCs w:val="26"/>
      </w:rPr>
    </w:pPr>
  </w:p>
  <w:p w:rsidR="00BA53E4" w:rsidRDefault="00A65067" w:rsidP="00BA53E4">
    <w:pPr>
      <w:pStyle w:val="Cabealho"/>
      <w:ind w:firstLine="0"/>
      <w:jc w:val="center"/>
      <w:rPr>
        <w:rFonts w:asciiTheme="minorHAnsi" w:hAnsiTheme="minorHAnsi" w:cstheme="minorHAnsi"/>
        <w:b/>
        <w:sz w:val="26"/>
        <w:szCs w:val="26"/>
      </w:rPr>
    </w:pPr>
  </w:p>
  <w:p w:rsidR="00BA53E4" w:rsidRDefault="00A65067" w:rsidP="00BA53E4">
    <w:pPr>
      <w:pStyle w:val="Cabealho"/>
      <w:ind w:firstLine="0"/>
      <w:jc w:val="center"/>
      <w:rPr>
        <w:rFonts w:asciiTheme="minorHAnsi" w:hAnsiTheme="minorHAnsi" w:cstheme="minorHAnsi"/>
        <w:b/>
        <w:sz w:val="26"/>
        <w:szCs w:val="26"/>
      </w:rPr>
    </w:pPr>
  </w:p>
  <w:p w:rsidR="00BA53E4" w:rsidRPr="00F15B5A" w:rsidRDefault="00A65067" w:rsidP="00BA53E4">
    <w:pPr>
      <w:pStyle w:val="Cabealho"/>
      <w:ind w:firstLine="0"/>
      <w:jc w:val="center"/>
      <w:rPr>
        <w:rFonts w:asciiTheme="minorHAnsi" w:hAnsiTheme="minorHAnsi" w:cstheme="minorHAnsi"/>
        <w:b/>
        <w:sz w:val="26"/>
        <w:szCs w:val="26"/>
      </w:rPr>
    </w:pPr>
    <w:r w:rsidRPr="00F15B5A">
      <w:rPr>
        <w:rFonts w:asciiTheme="minorHAnsi" w:hAnsiTheme="minorHAnsi" w:cstheme="minorHAnsi"/>
        <w:b/>
        <w:sz w:val="26"/>
        <w:szCs w:val="26"/>
      </w:rPr>
      <w:t>Estado de Mato Grosso</w:t>
    </w:r>
  </w:p>
  <w:p w:rsidR="00BA53E4" w:rsidRPr="00F15B5A" w:rsidRDefault="00A65067" w:rsidP="00BA53E4">
    <w:pPr>
      <w:pStyle w:val="Cabealho"/>
      <w:ind w:firstLine="0"/>
      <w:jc w:val="center"/>
      <w:rPr>
        <w:rFonts w:asciiTheme="minorHAnsi" w:hAnsiTheme="minorHAnsi" w:cstheme="minorHAnsi"/>
        <w:b/>
        <w:sz w:val="26"/>
        <w:szCs w:val="26"/>
      </w:rPr>
    </w:pPr>
    <w:r w:rsidRPr="00F15B5A">
      <w:rPr>
        <w:rFonts w:asciiTheme="minorHAnsi" w:hAnsiTheme="minorHAnsi" w:cstheme="minorHAnsi"/>
        <w:b/>
        <w:sz w:val="26"/>
        <w:szCs w:val="26"/>
      </w:rPr>
      <w:t>Prefeitura Municipal de Nova Xavantina</w:t>
    </w:r>
  </w:p>
  <w:p w:rsidR="00BA53E4" w:rsidRPr="002B1FD8" w:rsidRDefault="00A65067" w:rsidP="00BA53E4">
    <w:pPr>
      <w:pStyle w:val="Cabealho"/>
      <w:pBdr>
        <w:bottom w:val="double" w:sz="6" w:space="1" w:color="auto"/>
      </w:pBdr>
      <w:jc w:val="center"/>
      <w:rPr>
        <w:b/>
      </w:rPr>
    </w:pPr>
    <w:r>
      <w:rPr>
        <w:b/>
      </w:rPr>
      <w:t xml:space="preserve"> </w:t>
    </w:r>
  </w:p>
  <w:p w:rsidR="00817C4B" w:rsidRDefault="00A65067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7C4B" w:rsidRDefault="00A65067">
    <w:pPr>
      <w:spacing w:after="0"/>
      <w:ind w:left="57"/>
      <w:jc w:val="center"/>
    </w:pPr>
    <w:r>
      <w:rPr>
        <w:noProof/>
      </w:rPr>
      <w:drawing>
        <wp:anchor distT="0" distB="0" distL="114300" distR="114300" simplePos="0" relativeHeight="251661312" behindDoc="0" locked="0" layoutInCell="1" allowOverlap="0" wp14:anchorId="559FE8A2" wp14:editId="72AC8370">
          <wp:simplePos x="0" y="0"/>
          <wp:positionH relativeFrom="page">
            <wp:posOffset>3581400</wp:posOffset>
          </wp:positionH>
          <wp:positionV relativeFrom="page">
            <wp:posOffset>161925</wp:posOffset>
          </wp:positionV>
          <wp:extent cx="950595" cy="885825"/>
          <wp:effectExtent l="0" t="0" r="0" b="0"/>
          <wp:wrapSquare wrapText="bothSides"/>
          <wp:docPr id="3" name="Picture 179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4" name="Picture 179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50595" cy="885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  <w:p w:rsidR="00817C4B" w:rsidRDefault="00A65067"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2336" behindDoc="1" locked="0" layoutInCell="1" allowOverlap="1" wp14:anchorId="5F3B51CD" wp14:editId="01BE17E4">
              <wp:simplePos x="0" y="0"/>
              <wp:positionH relativeFrom="page">
                <wp:posOffset>1062533</wp:posOffset>
              </wp:positionH>
              <wp:positionV relativeFrom="page">
                <wp:posOffset>1821434</wp:posOffset>
              </wp:positionV>
              <wp:extent cx="5978018" cy="27432"/>
              <wp:effectExtent l="0" t="0" r="0" b="0"/>
              <wp:wrapNone/>
              <wp:docPr id="16422" name="Group 164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78018" cy="27432"/>
                        <a:chOff x="0" y="0"/>
                        <a:chExt cx="5978018" cy="27432"/>
                      </a:xfrm>
                    </wpg:grpSpPr>
                    <wps:wsp>
                      <wps:cNvPr id="17261" name="Shape 17261"/>
                      <wps:cNvSpPr/>
                      <wps:spPr>
                        <a:xfrm>
                          <a:off x="0" y="18288"/>
                          <a:ext cx="597801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78018" h="9144">
                              <a:moveTo>
                                <a:pt x="0" y="0"/>
                              </a:moveTo>
                              <a:lnTo>
                                <a:pt x="5978018" y="0"/>
                              </a:lnTo>
                              <a:lnTo>
                                <a:pt x="597801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7262" name="Shape 17262"/>
                      <wps:cNvSpPr/>
                      <wps:spPr>
                        <a:xfrm>
                          <a:off x="0" y="0"/>
                          <a:ext cx="597801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78018" h="9144">
                              <a:moveTo>
                                <a:pt x="0" y="0"/>
                              </a:moveTo>
                              <a:lnTo>
                                <a:pt x="5978018" y="0"/>
                              </a:lnTo>
                              <a:lnTo>
                                <a:pt x="597801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8915F2C" id="Group 16422" o:spid="_x0000_s1026" style="position:absolute;margin-left:83.65pt;margin-top:143.4pt;width:470.7pt;height:2.15pt;z-index:-251654144;mso-position-horizontal-relative:page;mso-position-vertical-relative:page" coordsize="59780,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">
              <v:shape id="Shape 17261" o:spid="_x0000_s1027" style="position:absolute;top:182;width:59780;height:92;visibility:visible;mso-wrap-style:square;v-text-anchor:top" coordsize="597801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q2ZsQA&#10;AADeAAAADwAAAGRycy9kb3ducmV2LnhtbERPPWvDMBDdC/kP4gLZGske7MaNEkJIiTs2CYRuh3W1&#10;Ta2TsVTb/fdVodDtHu/ztvvZdmKkwbeONSRrBYK4cqblWsPt+vL4BMIHZIOdY9LwTR72u8XDFgvj&#10;Jn6j8RJqEUPYF6ihCaEvpPRVQxb92vXEkftwg8UQ4VBLM+AUw20nU6UyabHl2NBgT8eGqs/Ll9XQ&#10;J/b1XIb0vknKvD2+35VS80nr1XI+PIMINId/8Z+7NHF+nmYJ/L4Tb5C7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wKtmbEAAAA3gAAAA8AAAAAAAAAAAAAAAAAmAIAAGRycy9k&#10;b3ducmV2LnhtbFBLBQYAAAAABAAEAPUAAACJAwAAAAA=&#10;" path="m,l5978018,r,9144l,9144,,e" fillcolor="black" stroked="f" strokeweight="0">
                <v:stroke miterlimit="83231f" joinstyle="miter"/>
                <v:path arrowok="t" textboxrect="0,0,5978018,9144"/>
              </v:shape>
              <v:shape id="Shape 17262" o:spid="_x0000_s1028" style="position:absolute;width:59780;height:91;visibility:visible;mso-wrap-style:square;v-text-anchor:top" coordsize="597801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goEcIA&#10;AADeAAAADwAAAGRycy9kb3ducmV2LnhtbERPTYvCMBC9C/sfwizsTZP2oG41yiIrW4/qgngbmrEt&#10;NpPSRK3/3giCt3m8z5kve9uIK3W+dqwhGSkQxIUzNZca/vfr4RSED8gGG8ek4U4elouPwRwz4268&#10;pesulCKGsM9QQxVCm0npi4os+pFriSN3cp3FEGFXStPhLYbbRqZKjaXFmmNDhS2tKirOu4vV0CZ2&#10;85eH9PCd5JN6dTwopfpfrb8++58ZiEB9eItf7tzE+ZN0nMLznXiD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2CgRwgAAAN4AAAAPAAAAAAAAAAAAAAAAAJgCAABkcnMvZG93&#10;bnJldi54bWxQSwUGAAAAAAQABAD1AAAAhwMAAAAA&#10;" path="m,l5978018,r,9144l,9144,,e" fillcolor="black" stroked="f" strokeweight="0">
                <v:stroke miterlimit="83231f" joinstyle="miter"/>
                <v:path arrowok="t" textboxrect="0,0,5978018,9144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067"/>
    <w:rsid w:val="00A65067"/>
    <w:rsid w:val="00D91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3BD4EF-98CA-4D4D-BE7F-175E75122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5067"/>
    <w:pPr>
      <w:tabs>
        <w:tab w:val="center" w:pos="4252"/>
        <w:tab w:val="right" w:pos="8504"/>
      </w:tabs>
      <w:spacing w:after="0" w:line="240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A65067"/>
    <w:rPr>
      <w:rFonts w:ascii="Times New Roman" w:eastAsia="Times New Roman" w:hAnsi="Times New Roman" w:cs="Times New Roman"/>
      <w:color w:val="000000"/>
      <w:sz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65067"/>
    <w:pPr>
      <w:tabs>
        <w:tab w:val="center" w:pos="4252"/>
        <w:tab w:val="right" w:pos="8504"/>
      </w:tabs>
      <w:spacing w:after="0" w:line="240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A65067"/>
    <w:rPr>
      <w:rFonts w:ascii="Times New Roman" w:eastAsia="Times New Roman" w:hAnsi="Times New Roman" w:cs="Times New Roman"/>
      <w:color w:val="000000"/>
      <w:sz w:val="24"/>
      <w:lang w:eastAsia="pt-BR"/>
    </w:rPr>
  </w:style>
  <w:style w:type="character" w:styleId="Hyperlink">
    <w:name w:val="Hyperlink"/>
    <w:rsid w:val="00A6506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ovaxavantina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2015</Words>
  <Characters>10884</Characters>
  <Application>Microsoft Office Word</Application>
  <DocSecurity>0</DocSecurity>
  <Lines>90</Lines>
  <Paragraphs>25</Paragraphs>
  <ScaleCrop>false</ScaleCrop>
  <Company/>
  <LinksUpToDate>false</LinksUpToDate>
  <CharactersWithSpaces>12874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2022-03-25T13:05:00Z</dcterms:created>
  <dcterms:modified xsi:type="dcterms:W3CDTF">2022-03-25T13:07:00Z</dcterms:modified>
</cp:coreProperties>
</file>