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342" w:rsidRPr="00A87342" w:rsidRDefault="00A87342" w:rsidP="00A87342">
      <w:pPr>
        <w:jc w:val="both"/>
        <w:rPr>
          <w:sz w:val="24"/>
          <w:szCs w:val="24"/>
        </w:rPr>
      </w:pPr>
      <w:r w:rsidRPr="00A87342">
        <w:rPr>
          <w:sz w:val="24"/>
          <w:szCs w:val="24"/>
        </w:rPr>
        <w:t>INDICAÇÃO Nº __/2026</w:t>
      </w:r>
    </w:p>
    <w:p w:rsidR="00A87342" w:rsidRPr="00A87342" w:rsidRDefault="00A87342" w:rsidP="00A87342">
      <w:pPr>
        <w:ind w:left="4395"/>
        <w:jc w:val="both"/>
        <w:rPr>
          <w:b/>
          <w:sz w:val="24"/>
          <w:szCs w:val="24"/>
        </w:rPr>
      </w:pPr>
      <w:r w:rsidRPr="00A87342">
        <w:rPr>
          <w:b/>
          <w:sz w:val="24"/>
          <w:szCs w:val="24"/>
        </w:rPr>
        <w:t>“</w:t>
      </w:r>
      <w:r w:rsidR="00DB0137" w:rsidRPr="00DB0137">
        <w:rPr>
          <w:b/>
          <w:sz w:val="24"/>
          <w:szCs w:val="24"/>
        </w:rPr>
        <w:t>Indica a implantação de uma rotatória na TO-255, no setor industrial, na altura dos Armazéns Morro da Pedra.</w:t>
      </w:r>
      <w:r w:rsidRPr="00A87342">
        <w:rPr>
          <w:b/>
          <w:sz w:val="24"/>
          <w:szCs w:val="24"/>
        </w:rPr>
        <w:t>”</w:t>
      </w:r>
    </w:p>
    <w:p w:rsidR="00A87342" w:rsidRPr="00A87342" w:rsidRDefault="00A87342" w:rsidP="00A87342">
      <w:pPr>
        <w:jc w:val="both"/>
        <w:rPr>
          <w:sz w:val="24"/>
          <w:szCs w:val="24"/>
        </w:rPr>
      </w:pPr>
    </w:p>
    <w:p w:rsidR="00A87342" w:rsidRPr="00A87342" w:rsidRDefault="00A87342" w:rsidP="00A87342">
      <w:pPr>
        <w:jc w:val="both"/>
        <w:rPr>
          <w:sz w:val="24"/>
          <w:szCs w:val="24"/>
        </w:rPr>
      </w:pPr>
      <w:r w:rsidRPr="00A87342">
        <w:rPr>
          <w:sz w:val="24"/>
          <w:szCs w:val="24"/>
        </w:rPr>
        <w:t>O</w:t>
      </w:r>
      <w:r w:rsidR="005F4B06">
        <w:rPr>
          <w:sz w:val="24"/>
          <w:szCs w:val="24"/>
        </w:rPr>
        <w:t>s</w:t>
      </w:r>
      <w:r w:rsidRPr="00A87342">
        <w:rPr>
          <w:sz w:val="24"/>
          <w:szCs w:val="24"/>
        </w:rPr>
        <w:t xml:space="preserve"> Vereador</w:t>
      </w:r>
      <w:r w:rsidR="005F4B06">
        <w:rPr>
          <w:sz w:val="24"/>
          <w:szCs w:val="24"/>
        </w:rPr>
        <w:t>es</w:t>
      </w:r>
      <w:r w:rsidRPr="00A87342">
        <w:rPr>
          <w:sz w:val="24"/>
          <w:szCs w:val="24"/>
        </w:rPr>
        <w:t xml:space="preserve"> que a presente subscreve</w:t>
      </w:r>
      <w:r w:rsidR="005F4B06">
        <w:rPr>
          <w:sz w:val="24"/>
          <w:szCs w:val="24"/>
        </w:rPr>
        <w:t>m</w:t>
      </w:r>
      <w:r w:rsidRPr="00A87342">
        <w:rPr>
          <w:sz w:val="24"/>
          <w:szCs w:val="24"/>
        </w:rPr>
        <w:t>, nos termos regimentais vigentes, requer</w:t>
      </w:r>
      <w:r w:rsidR="005F4B06">
        <w:rPr>
          <w:sz w:val="24"/>
          <w:szCs w:val="24"/>
        </w:rPr>
        <w:t>em</w:t>
      </w:r>
      <w:bookmarkStart w:id="0" w:name="_GoBack"/>
      <w:bookmarkEnd w:id="0"/>
      <w:r w:rsidRPr="00A87342">
        <w:rPr>
          <w:sz w:val="24"/>
          <w:szCs w:val="24"/>
        </w:rPr>
        <w:t xml:space="preserve">, após ouvido o Plenário, que seja encaminhado expediente ao Excelentíssimo Senhor Prefeito Municipal, </w:t>
      </w:r>
      <w:r w:rsidR="00DB0137" w:rsidRPr="00DB0137">
        <w:rPr>
          <w:sz w:val="24"/>
          <w:szCs w:val="24"/>
        </w:rPr>
        <w:t>com cópia ao órgão competente do Estado, solicitando a implantação de uma rotatória na rodovia TO-255, no setor industrial, especificamente na alt</w:t>
      </w:r>
      <w:r w:rsidR="00DB0137">
        <w:rPr>
          <w:sz w:val="24"/>
          <w:szCs w:val="24"/>
        </w:rPr>
        <w:t>ura dos Armazéns Morro da Pedra</w:t>
      </w:r>
      <w:r w:rsidRPr="00A87342">
        <w:rPr>
          <w:sz w:val="24"/>
          <w:szCs w:val="24"/>
        </w:rPr>
        <w:t>.</w:t>
      </w:r>
    </w:p>
    <w:p w:rsidR="00A87342" w:rsidRPr="00A87342" w:rsidRDefault="00A87342" w:rsidP="00A87342">
      <w:pPr>
        <w:jc w:val="both"/>
        <w:rPr>
          <w:sz w:val="24"/>
          <w:szCs w:val="24"/>
        </w:rPr>
      </w:pPr>
    </w:p>
    <w:p w:rsidR="00A87342" w:rsidRPr="00A87342" w:rsidRDefault="00A87342" w:rsidP="00A87342">
      <w:pPr>
        <w:jc w:val="both"/>
        <w:rPr>
          <w:sz w:val="24"/>
          <w:szCs w:val="24"/>
        </w:rPr>
      </w:pPr>
      <w:r w:rsidRPr="00A87342">
        <w:rPr>
          <w:sz w:val="24"/>
          <w:szCs w:val="24"/>
        </w:rPr>
        <w:t>JUSTIFICATIVA</w:t>
      </w:r>
    </w:p>
    <w:p w:rsidR="00A87342" w:rsidRDefault="00A87342" w:rsidP="006A0898">
      <w:pPr>
        <w:jc w:val="both"/>
        <w:rPr>
          <w:sz w:val="24"/>
          <w:szCs w:val="24"/>
        </w:rPr>
      </w:pPr>
    </w:p>
    <w:p w:rsidR="00DB0137" w:rsidRPr="00DB0137" w:rsidRDefault="00DB0137" w:rsidP="00DB0137">
      <w:pPr>
        <w:jc w:val="both"/>
        <w:rPr>
          <w:sz w:val="24"/>
          <w:szCs w:val="24"/>
        </w:rPr>
      </w:pPr>
      <w:r w:rsidRPr="00DB0137">
        <w:rPr>
          <w:sz w:val="24"/>
          <w:szCs w:val="24"/>
        </w:rPr>
        <w:t>A presente indicação tem como objetivo melhorar a segurança viária e a organização do tráfego na região do setor industrial, um ponto de grande circulação de veículos leves e, principalmente, de veículos pesados, como caminhões e carretas que acessam os armazéns locais.</w:t>
      </w:r>
    </w:p>
    <w:p w:rsidR="00DB0137" w:rsidRPr="00DB0137" w:rsidRDefault="00DB0137" w:rsidP="00DB0137">
      <w:pPr>
        <w:jc w:val="both"/>
        <w:rPr>
          <w:sz w:val="24"/>
          <w:szCs w:val="24"/>
        </w:rPr>
      </w:pPr>
    </w:p>
    <w:p w:rsidR="00DB0137" w:rsidRPr="00DB0137" w:rsidRDefault="00DB0137" w:rsidP="00DB0137">
      <w:pPr>
        <w:jc w:val="both"/>
        <w:rPr>
          <w:sz w:val="24"/>
          <w:szCs w:val="24"/>
        </w:rPr>
      </w:pPr>
      <w:r w:rsidRPr="00DB0137">
        <w:rPr>
          <w:sz w:val="24"/>
          <w:szCs w:val="24"/>
        </w:rPr>
        <w:t>Atualmente, o trecho mencionado apresenta alto risco de acidentes, devido à falta de sinalização adequada e de um mecanismo eficiente de controle de fluxo, especialmente em horários de maior movimentação. A implantação de uma rotatória proporcionará:</w:t>
      </w:r>
    </w:p>
    <w:p w:rsidR="00DB0137" w:rsidRPr="00DB0137" w:rsidRDefault="00DB0137" w:rsidP="00DB0137">
      <w:pPr>
        <w:jc w:val="both"/>
        <w:rPr>
          <w:sz w:val="24"/>
          <w:szCs w:val="24"/>
        </w:rPr>
      </w:pPr>
    </w:p>
    <w:p w:rsidR="00DB0137" w:rsidRPr="00DB0137" w:rsidRDefault="00DB0137" w:rsidP="00DB0137">
      <w:pPr>
        <w:jc w:val="both"/>
        <w:rPr>
          <w:sz w:val="24"/>
          <w:szCs w:val="24"/>
        </w:rPr>
      </w:pPr>
      <w:r w:rsidRPr="00DB0137">
        <w:rPr>
          <w:sz w:val="24"/>
          <w:szCs w:val="24"/>
        </w:rPr>
        <w:t>* Redução da velocidade dos veículos;</w:t>
      </w:r>
    </w:p>
    <w:p w:rsidR="00DB0137" w:rsidRPr="00DB0137" w:rsidRDefault="00DB0137" w:rsidP="00DB0137">
      <w:pPr>
        <w:jc w:val="both"/>
        <w:rPr>
          <w:sz w:val="24"/>
          <w:szCs w:val="24"/>
        </w:rPr>
      </w:pPr>
      <w:r w:rsidRPr="00DB0137">
        <w:rPr>
          <w:sz w:val="24"/>
          <w:szCs w:val="24"/>
        </w:rPr>
        <w:t>* Melhor organização do trânsito;</w:t>
      </w:r>
    </w:p>
    <w:p w:rsidR="00DB0137" w:rsidRPr="00DB0137" w:rsidRDefault="00DB0137" w:rsidP="00DB0137">
      <w:pPr>
        <w:jc w:val="both"/>
        <w:rPr>
          <w:sz w:val="24"/>
          <w:szCs w:val="24"/>
        </w:rPr>
      </w:pPr>
      <w:r w:rsidRPr="00DB0137">
        <w:rPr>
          <w:sz w:val="24"/>
          <w:szCs w:val="24"/>
        </w:rPr>
        <w:t>* Diminuição significativa do risco de colisões;</w:t>
      </w:r>
    </w:p>
    <w:p w:rsidR="00DB0137" w:rsidRPr="00DB0137" w:rsidRDefault="00DB0137" w:rsidP="00DB0137">
      <w:pPr>
        <w:jc w:val="both"/>
        <w:rPr>
          <w:sz w:val="24"/>
          <w:szCs w:val="24"/>
        </w:rPr>
      </w:pPr>
      <w:r w:rsidRPr="00DB0137">
        <w:rPr>
          <w:sz w:val="24"/>
          <w:szCs w:val="24"/>
        </w:rPr>
        <w:t>* Maior segurança para motoristas, trabalhadores e pedestres da região;</w:t>
      </w:r>
    </w:p>
    <w:p w:rsidR="00DB0137" w:rsidRPr="00DB0137" w:rsidRDefault="00DB0137" w:rsidP="00DB0137">
      <w:pPr>
        <w:jc w:val="both"/>
        <w:rPr>
          <w:sz w:val="24"/>
          <w:szCs w:val="24"/>
        </w:rPr>
      </w:pPr>
      <w:r w:rsidRPr="00DB0137">
        <w:rPr>
          <w:sz w:val="24"/>
          <w:szCs w:val="24"/>
        </w:rPr>
        <w:t>* Facilidade de acesso aos estabelecimentos industriais próximos.</w:t>
      </w:r>
    </w:p>
    <w:p w:rsidR="00DB0137" w:rsidRPr="00DB0137" w:rsidRDefault="00DB0137" w:rsidP="00DB0137">
      <w:pPr>
        <w:jc w:val="both"/>
        <w:rPr>
          <w:sz w:val="24"/>
          <w:szCs w:val="24"/>
        </w:rPr>
      </w:pPr>
    </w:p>
    <w:p w:rsidR="00DB0137" w:rsidRPr="00DB0137" w:rsidRDefault="00DB0137" w:rsidP="00DB0137">
      <w:pPr>
        <w:jc w:val="both"/>
        <w:rPr>
          <w:sz w:val="24"/>
          <w:szCs w:val="24"/>
        </w:rPr>
      </w:pPr>
      <w:r w:rsidRPr="00DB0137">
        <w:rPr>
          <w:sz w:val="24"/>
          <w:szCs w:val="24"/>
        </w:rPr>
        <w:t>Além disso, considerando o crescimento do setor produtivo do município, torna-se essencial investir em infraestrutura viária adequada, garantindo condições seguras e eficientes para o escoamento da produção e o deslocamento da população.</w:t>
      </w:r>
    </w:p>
    <w:p w:rsidR="00DB0137" w:rsidRPr="00DB0137" w:rsidRDefault="00DB0137" w:rsidP="00DB0137">
      <w:pPr>
        <w:jc w:val="both"/>
        <w:rPr>
          <w:sz w:val="24"/>
          <w:szCs w:val="24"/>
        </w:rPr>
      </w:pPr>
    </w:p>
    <w:p w:rsidR="00DB0137" w:rsidRPr="00A87342" w:rsidRDefault="00DB0137" w:rsidP="00DB0137">
      <w:pPr>
        <w:jc w:val="both"/>
        <w:rPr>
          <w:sz w:val="24"/>
          <w:szCs w:val="24"/>
        </w:rPr>
      </w:pPr>
      <w:r w:rsidRPr="00DB0137">
        <w:rPr>
          <w:sz w:val="24"/>
          <w:szCs w:val="24"/>
        </w:rPr>
        <w:t>Diante do exposto, a implantação da rotatória se mostra uma medida necessária, urgente e de grande impacto positivo para a mobilidade urbana e segurança no local.</w:t>
      </w:r>
    </w:p>
    <w:p w:rsidR="006A0898" w:rsidRDefault="006A0898" w:rsidP="00A87342">
      <w:pPr>
        <w:jc w:val="both"/>
        <w:rPr>
          <w:sz w:val="24"/>
          <w:szCs w:val="24"/>
        </w:rPr>
      </w:pPr>
    </w:p>
    <w:p w:rsidR="00A87342" w:rsidRPr="00A87342" w:rsidRDefault="00A87342" w:rsidP="00A87342">
      <w:pPr>
        <w:jc w:val="both"/>
        <w:rPr>
          <w:sz w:val="24"/>
          <w:szCs w:val="24"/>
        </w:rPr>
      </w:pPr>
      <w:r w:rsidRPr="00A87342">
        <w:rPr>
          <w:sz w:val="24"/>
          <w:szCs w:val="24"/>
        </w:rPr>
        <w:t>CONCLUSÃO</w:t>
      </w:r>
    </w:p>
    <w:p w:rsidR="00A87342" w:rsidRPr="00A87342" w:rsidRDefault="00A87342" w:rsidP="00A87342">
      <w:pPr>
        <w:jc w:val="both"/>
        <w:rPr>
          <w:sz w:val="24"/>
          <w:szCs w:val="24"/>
        </w:rPr>
      </w:pPr>
    </w:p>
    <w:p w:rsidR="00EF7267" w:rsidRDefault="00DB0137" w:rsidP="00A87342">
      <w:pPr>
        <w:tabs>
          <w:tab w:val="left" w:pos="567"/>
        </w:tabs>
        <w:jc w:val="both"/>
        <w:rPr>
          <w:sz w:val="24"/>
          <w:szCs w:val="24"/>
        </w:rPr>
      </w:pPr>
      <w:r w:rsidRPr="00DB0137">
        <w:rPr>
          <w:sz w:val="24"/>
          <w:szCs w:val="24"/>
        </w:rPr>
        <w:t xml:space="preserve">Diante da importância da medida, conclui-se que a implantação da rotatória na TO-255, na altura dos Armazéns Morro da Pedra, trará mais segurança, melhor organização do tráfego e redução dos riscos de acidentes no setor industrial. Trata-se de uma ação necessária para acompanhar o crescimento da região e garantir melhores condições de circulação para </w:t>
      </w:r>
      <w:r w:rsidRPr="00DB0137">
        <w:rPr>
          <w:sz w:val="24"/>
          <w:szCs w:val="24"/>
        </w:rPr>
        <w:lastRenderedPageBreak/>
        <w:t>motoristas, trabalhadores e toda a população que utiliza diariamente o trecho.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A87342" w:rsidRPr="00A87342" w:rsidRDefault="00A87342" w:rsidP="00A87342">
      <w:pPr>
        <w:tabs>
          <w:tab w:val="left" w:pos="567"/>
        </w:tabs>
        <w:jc w:val="both"/>
        <w:rPr>
          <w:sz w:val="24"/>
          <w:szCs w:val="24"/>
        </w:rPr>
      </w:pPr>
      <w:r w:rsidRPr="00A87342">
        <w:rPr>
          <w:sz w:val="24"/>
          <w:szCs w:val="24"/>
        </w:rPr>
        <w:t>Sala das Sessões da Câmara Municipal de Lagoa da Confusão – TO, 0</w:t>
      </w:r>
      <w:r w:rsidR="00DB0137">
        <w:rPr>
          <w:sz w:val="24"/>
          <w:szCs w:val="24"/>
        </w:rPr>
        <w:t>7</w:t>
      </w:r>
      <w:r w:rsidRPr="00A87342">
        <w:rPr>
          <w:sz w:val="24"/>
          <w:szCs w:val="24"/>
        </w:rPr>
        <w:t xml:space="preserve"> de </w:t>
      </w:r>
      <w:r w:rsidR="005C280A">
        <w:rPr>
          <w:sz w:val="24"/>
          <w:szCs w:val="24"/>
        </w:rPr>
        <w:t xml:space="preserve">Maio </w:t>
      </w:r>
      <w:r w:rsidRPr="00A87342">
        <w:rPr>
          <w:sz w:val="24"/>
          <w:szCs w:val="24"/>
        </w:rPr>
        <w:t>de 2026.</w:t>
      </w:r>
    </w:p>
    <w:p w:rsidR="00A87342" w:rsidRPr="00A87342" w:rsidRDefault="00A87342" w:rsidP="00A87342">
      <w:pPr>
        <w:spacing w:line="276" w:lineRule="auto"/>
        <w:ind w:right="18" w:firstLine="708"/>
        <w:jc w:val="both"/>
        <w:rPr>
          <w:sz w:val="24"/>
          <w:szCs w:val="24"/>
        </w:rPr>
      </w:pPr>
    </w:p>
    <w:p w:rsidR="00A87342" w:rsidRPr="00A87342" w:rsidRDefault="00A87342" w:rsidP="00A87342">
      <w:pPr>
        <w:spacing w:line="276" w:lineRule="auto"/>
        <w:ind w:right="18"/>
        <w:jc w:val="both"/>
        <w:rPr>
          <w:b/>
          <w:sz w:val="24"/>
          <w:szCs w:val="24"/>
        </w:rPr>
      </w:pPr>
      <w:r w:rsidRPr="00A87342">
        <w:rPr>
          <w:b/>
          <w:sz w:val="24"/>
          <w:szCs w:val="24"/>
        </w:rPr>
        <w:t xml:space="preserve">                                        </w:t>
      </w:r>
    </w:p>
    <w:p w:rsidR="00A87342" w:rsidRDefault="005F4B06" w:rsidP="00A8734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proofErr w:type="spellStart"/>
      <w:r>
        <w:rPr>
          <w:b/>
          <w:sz w:val="24"/>
          <w:szCs w:val="24"/>
        </w:rPr>
        <w:t>Romivaldo</w:t>
      </w:r>
      <w:proofErr w:type="spellEnd"/>
      <w:r>
        <w:rPr>
          <w:b/>
          <w:sz w:val="24"/>
          <w:szCs w:val="24"/>
        </w:rPr>
        <w:t xml:space="preserve"> José Martins       </w:t>
      </w:r>
      <w:proofErr w:type="spellStart"/>
      <w:r>
        <w:rPr>
          <w:b/>
          <w:sz w:val="24"/>
          <w:szCs w:val="24"/>
        </w:rPr>
        <w:t>Emoly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Cristhina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Zanfra</w:t>
      </w:r>
      <w:proofErr w:type="spellEnd"/>
    </w:p>
    <w:p w:rsidR="005F4B06" w:rsidRDefault="005F4B06" w:rsidP="00A87342">
      <w:pPr>
        <w:jc w:val="both"/>
        <w:rPr>
          <w:b/>
          <w:sz w:val="24"/>
          <w:szCs w:val="24"/>
        </w:rPr>
      </w:pPr>
    </w:p>
    <w:p w:rsidR="005F4B06" w:rsidRPr="00A87342" w:rsidRDefault="005F4B06" w:rsidP="00A8734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Vereador                                Vereadora</w:t>
      </w:r>
    </w:p>
    <w:p w:rsidR="00AE413E" w:rsidRPr="00A87342" w:rsidRDefault="00AE413E" w:rsidP="00A87342">
      <w:pPr>
        <w:jc w:val="both"/>
        <w:rPr>
          <w:sz w:val="24"/>
          <w:szCs w:val="24"/>
        </w:rPr>
      </w:pPr>
    </w:p>
    <w:sectPr w:rsidR="00AE413E" w:rsidRPr="00A87342" w:rsidSect="0077455E">
      <w:headerReference w:type="default" r:id="rId6"/>
      <w:footerReference w:type="default" r:id="rId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BF4" w:rsidRDefault="00013BF4">
      <w:r>
        <w:separator/>
      </w:r>
    </w:p>
  </w:endnote>
  <w:endnote w:type="continuationSeparator" w:id="0">
    <w:p w:rsidR="00013BF4" w:rsidRDefault="00013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skoola Pota">
    <w:charset w:val="4D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960" w:rsidRPr="00790E0D" w:rsidRDefault="005C280A" w:rsidP="00925270">
    <w:pPr>
      <w:pStyle w:val="Rodap"/>
      <w:rPr>
        <w:sz w:val="24"/>
        <w:szCs w:val="24"/>
      </w:rPr>
    </w:pPr>
    <w:r w:rsidRPr="00790E0D">
      <w:rPr>
        <w:rFonts w:ascii="Garamond" w:hAnsi="Garamond" w:cs="Iskoola Pota"/>
        <w:b/>
        <w:color w:val="1F497D"/>
        <w:sz w:val="24"/>
        <w:szCs w:val="24"/>
      </w:rPr>
      <w:t xml:space="preserve">Câmara Municipal de Lagoa da </w:t>
    </w:r>
    <w:proofErr w:type="spellStart"/>
    <w:r w:rsidRPr="00790E0D">
      <w:rPr>
        <w:rFonts w:ascii="Garamond" w:hAnsi="Garamond" w:cs="Iskoola Pota"/>
        <w:b/>
        <w:color w:val="1F497D"/>
        <w:sz w:val="24"/>
        <w:szCs w:val="24"/>
      </w:rPr>
      <w:t>Confusão-TO</w:t>
    </w:r>
    <w:proofErr w:type="spellEnd"/>
    <w:r w:rsidRPr="00790E0D">
      <w:rPr>
        <w:rFonts w:ascii="Garamond" w:hAnsi="Garamond" w:cs="Iskoola Pota"/>
        <w:b/>
        <w:color w:val="1F497D"/>
        <w:sz w:val="24"/>
        <w:szCs w:val="24"/>
      </w:rPr>
      <w:t xml:space="preserve"> – Av. Vicente Barbosa nº 1.770 – Centro – CEP: 77493-000 E-mail: </w:t>
    </w:r>
    <w:hyperlink r:id="rId1" w:history="1">
      <w:r w:rsidRPr="00790E0D">
        <w:rPr>
          <w:rStyle w:val="Hyperlink"/>
          <w:rFonts w:ascii="Garamond" w:hAnsi="Garamond" w:cs="Iskoola Pota"/>
          <w:b/>
          <w:sz w:val="24"/>
          <w:szCs w:val="24"/>
        </w:rPr>
        <w:t>camaralagoa@yahoo.com.br</w:t>
      </w:r>
    </w:hyperlink>
    <w:r w:rsidRPr="00790E0D">
      <w:rPr>
        <w:rFonts w:ascii="Garamond" w:hAnsi="Garamond" w:cs="Iskoola Pota"/>
        <w:b/>
        <w:color w:val="1F497D"/>
        <w:sz w:val="24"/>
        <w:szCs w:val="24"/>
      </w:rPr>
      <w:t xml:space="preserve"> - fones: (63) 3364-1163 e 3364-1444</w:t>
    </w:r>
  </w:p>
  <w:p w:rsidR="00720960" w:rsidRDefault="00013B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BF4" w:rsidRDefault="00013BF4">
      <w:r>
        <w:separator/>
      </w:r>
    </w:p>
  </w:footnote>
  <w:footnote w:type="continuationSeparator" w:id="0">
    <w:p w:rsidR="00013BF4" w:rsidRDefault="00013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960" w:rsidRDefault="005C280A" w:rsidP="00925270">
    <w:pPr>
      <w:pStyle w:val="Cabealho"/>
      <w:rPr>
        <w:noProof/>
      </w:rPr>
    </w:pPr>
    <w:r>
      <w:ptab w:relativeTo="margin" w:alignment="center" w:leader="none"/>
    </w:r>
  </w:p>
  <w:tbl>
    <w:tblPr>
      <w:tblW w:w="9240" w:type="dxa"/>
      <w:tblInd w:w="108" w:type="dxa"/>
      <w:tblBorders>
        <w:bottom w:val="single" w:sz="18" w:space="0" w:color="auto"/>
      </w:tblBorders>
      <w:tblLook w:val="01E0" w:firstRow="1" w:lastRow="1" w:firstColumn="1" w:lastColumn="1" w:noHBand="0" w:noVBand="0"/>
    </w:tblPr>
    <w:tblGrid>
      <w:gridCol w:w="1656"/>
      <w:gridCol w:w="5799"/>
      <w:gridCol w:w="1785"/>
    </w:tblGrid>
    <w:tr w:rsidR="00925270" w:rsidTr="00DF37D2">
      <w:tc>
        <w:tcPr>
          <w:tcW w:w="1440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:rsidR="00720960" w:rsidRDefault="005C280A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  <w:bookmarkStart w:id="1" w:name="_Hlk128487901"/>
          <w:r>
            <w:rPr>
              <w:rFonts w:ascii="Century Gothic" w:hAnsi="Century Gothic" w:cs="Arial"/>
              <w:noProof/>
            </w:rPr>
            <w:drawing>
              <wp:inline distT="0" distB="0" distL="0" distR="0" wp14:anchorId="4C97AA07" wp14:editId="7162998B">
                <wp:extent cx="914400" cy="914400"/>
                <wp:effectExtent l="0" t="0" r="0" b="0"/>
                <wp:docPr id="3" name="Imagem 3" descr="https://encrypted-tbn3.gstatic.com/images?q=tbn:ANd9GcQavOJKFBuR0FsH601Cvgqrl8TZ8CvOg8BUQKEzp3FEfrwA7oh3R1Z1S_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ilrp_mut" descr="https://encrypted-tbn3.gstatic.com/images?q=tbn:ANd9GcQavOJKFBuR0FsH601Cvgqrl8TZ8CvOg8BUQKEzp3FEfrwA7oh3R1Z1S_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00" w:type="dxa"/>
          <w:tcBorders>
            <w:top w:val="nil"/>
            <w:left w:val="nil"/>
            <w:bottom w:val="single" w:sz="18" w:space="0" w:color="auto"/>
            <w:right w:val="nil"/>
          </w:tcBorders>
        </w:tcPr>
        <w:p w:rsidR="00720960" w:rsidRDefault="00013BF4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</w:p>
        <w:p w:rsidR="00720960" w:rsidRDefault="005C280A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  <w:r>
            <w:rPr>
              <w:rFonts w:ascii="Century Gothic" w:hAnsi="Century Gothic" w:cs="Times New Roman"/>
              <w:b/>
              <w:bCs/>
              <w:color w:val="auto"/>
              <w:lang w:eastAsia="en-US"/>
            </w:rPr>
            <w:t>ESTADO DO TOCANTINS</w:t>
          </w:r>
        </w:p>
        <w:p w:rsidR="00720960" w:rsidRDefault="005C280A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  <w:r>
            <w:rPr>
              <w:rFonts w:ascii="Century Gothic" w:hAnsi="Century Gothic" w:cs="Times New Roman"/>
              <w:b/>
              <w:bCs/>
              <w:color w:val="auto"/>
              <w:lang w:eastAsia="en-US"/>
            </w:rPr>
            <w:t>PODER LEGISLATIVO</w:t>
          </w:r>
        </w:p>
        <w:p w:rsidR="00720960" w:rsidRDefault="005C280A" w:rsidP="00925270">
          <w:pPr>
            <w:spacing w:line="276" w:lineRule="auto"/>
            <w:jc w:val="center"/>
            <w:rPr>
              <w:rFonts w:ascii="Century Gothic" w:hAnsi="Century Gothic"/>
              <w:b/>
              <w:bCs/>
              <w:lang w:eastAsia="en-US"/>
            </w:rPr>
          </w:pPr>
          <w:r>
            <w:rPr>
              <w:rFonts w:ascii="Century Gothic" w:hAnsi="Century Gothic"/>
              <w:b/>
              <w:bCs/>
              <w:lang w:eastAsia="en-US"/>
            </w:rPr>
            <w:t>CÂMARA MUNICIPAL DE LAGOA DA CONFUSÃO</w:t>
          </w:r>
        </w:p>
        <w:p w:rsidR="00720960" w:rsidRDefault="00013BF4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</w:p>
      </w:tc>
      <w:tc>
        <w:tcPr>
          <w:tcW w:w="1800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:rsidR="00720960" w:rsidRDefault="005C280A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  <w:r w:rsidRPr="00CE04E9">
            <w:rPr>
              <w:rFonts w:ascii="Century Gothic" w:hAnsi="Century Gothic"/>
              <w:noProof/>
              <w:sz w:val="24"/>
              <w:szCs w:val="24"/>
              <w:lang w:eastAsia="en-US"/>
            </w:rPr>
            <w:object w:dxaOrig="22264" w:dyaOrig="2094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63.7pt;height:71.3pt;mso-width-percent:0;mso-height-percent:0;mso-width-percent:0;mso-height-percent:0" o:ole="">
                <v:imagedata r:id="rId2" o:title=""/>
              </v:shape>
              <o:OLEObject Type="Embed" ProgID="PBrush" ShapeID="_x0000_i1025" DrawAspect="Content" ObjectID="_1839612299" r:id="rId3"/>
            </w:object>
          </w:r>
        </w:p>
      </w:tc>
    </w:tr>
  </w:tbl>
  <w:bookmarkEnd w:id="1"/>
  <w:p w:rsidR="00720960" w:rsidRPr="00B06FE1" w:rsidRDefault="005C280A" w:rsidP="00925270">
    <w:pPr>
      <w:pStyle w:val="Cabealho"/>
    </w:pP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342"/>
    <w:rsid w:val="00013BF4"/>
    <w:rsid w:val="005C280A"/>
    <w:rsid w:val="005F4B06"/>
    <w:rsid w:val="006A0898"/>
    <w:rsid w:val="009E7187"/>
    <w:rsid w:val="00A87342"/>
    <w:rsid w:val="00AE413E"/>
    <w:rsid w:val="00DB0137"/>
    <w:rsid w:val="00EF7267"/>
    <w:rsid w:val="00FE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6719ED-8ADC-4EB6-BFAA-BFC1F6F5A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734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8734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87342"/>
  </w:style>
  <w:style w:type="paragraph" w:styleId="Rodap">
    <w:name w:val="footer"/>
    <w:basedOn w:val="Normal"/>
    <w:link w:val="RodapChar"/>
    <w:unhideWhenUsed/>
    <w:rsid w:val="00A8734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A87342"/>
  </w:style>
  <w:style w:type="paragraph" w:customStyle="1" w:styleId="Default">
    <w:name w:val="Default"/>
    <w:rsid w:val="00A873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rsid w:val="00A873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goa@yahoo.com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camaramunicipal.lagoadaconfusao@hotmail.com</dc:creator>
  <cp:keywords/>
  <dc:description/>
  <cp:lastModifiedBy>camaramunicipal.lagoadaconfusao@hotmail.com</cp:lastModifiedBy>
  <cp:revision>2</cp:revision>
  <dcterms:created xsi:type="dcterms:W3CDTF">2026-05-07T01:38:00Z</dcterms:created>
  <dcterms:modified xsi:type="dcterms:W3CDTF">2026-05-07T01:38:00Z</dcterms:modified>
</cp:coreProperties>
</file>