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15"/>
        <w:jc w:val="center"/>
        <w:spacing w:before="0" w:beforeAutospacing="0" w:after="0" w:afterAutospacing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PROJETO DE LEI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</w:p>
    <w:p>
      <w:pPr>
        <w:pStyle w:val="915"/>
        <w:jc w:val="both"/>
        <w:spacing w:before="0" w:beforeAutospacing="0" w:after="0" w:afterAutospacing="0"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cs="Times New Roman"/>
          <w:b/>
          <w:color w:val="000000"/>
          <w:sz w:val="24"/>
          <w:szCs w:val="24"/>
        </w:rPr>
      </w:r>
    </w:p>
    <w:p>
      <w:pPr>
        <w:ind w:left="3118" w:right="0" w:firstLine="0"/>
        <w:jc w:val="both"/>
        <w:shd w:val="nil"/>
        <w:rPr>
          <w:b/>
          <w:bCs/>
          <w:sz w:val="24"/>
          <w:szCs w:val="24"/>
          <w:highlight w:val="none"/>
          <w14:ligatures w14:val="none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  <w:t xml:space="preserve">"</w:t>
      </w:r>
      <w:r>
        <w:rPr>
          <w:b/>
          <w:bCs/>
          <w:sz w:val="24"/>
          <w:szCs w:val="24"/>
          <w:highlight w:val="none"/>
        </w:rPr>
        <w:t xml:space="preserve">ALTERA A LEI MUNICIPAL Nº 795/82 QUE DISPÕE SOBRE O PARCELAMENTO DE SOLO</w:t>
      </w:r>
      <w:r>
        <w:rPr>
          <w:b/>
          <w:bCs/>
          <w:sz w:val="24"/>
          <w:szCs w:val="24"/>
          <w:highlight w:val="none"/>
        </w:rPr>
        <w:t xml:space="preserve">,</w:t>
      </w:r>
      <w:r>
        <w:rPr>
          <w:b/>
          <w:bCs/>
          <w:sz w:val="24"/>
          <w:szCs w:val="24"/>
          <w:highlight w:val="none"/>
        </w:rPr>
        <w:t xml:space="preserve"> </w:t>
      </w:r>
      <w:r>
        <w:rPr>
          <w:b/>
          <w:bCs/>
          <w:sz w:val="24"/>
          <w:szCs w:val="24"/>
          <w:highlight w:val="none"/>
        </w:rPr>
        <w:t xml:space="preserve">E DÁ OUTRAS PROVIDÊNCIAS”.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  <w14:ligatures w14:val="none"/>
        </w:rPr>
      </w:r>
    </w:p>
    <w:p>
      <w:pPr>
        <w:pStyle w:val="915"/>
        <w:jc w:val="both"/>
        <w:spacing w:before="0" w:beforeAutospacing="0" w:after="0" w:afterAutospacing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915"/>
        <w:ind w:firstLine="1418"/>
        <w:jc w:val="both"/>
        <w:spacing w:before="0" w:beforeAutospacing="0" w:after="0" w:afterAutospacing="0" w:line="360" w:lineRule="auto"/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Art. 1º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Fica alterado os Art. 27 e 28 d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a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white"/>
        </w:rPr>
        <w:t xml:space="preserve"> Lei Municipal Nº 795/82,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que Dispõe Sobre o Parcelamento de Solo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</w:rPr>
        <w:t xml:space="preserve">, passando a ter a seguinte redação: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z w:val="24"/>
          <w:szCs w:val="24"/>
          <w:highlight w:val="none"/>
        </w:rPr>
      </w:r>
    </w:p>
    <w:p>
      <w:pPr>
        <w:pStyle w:val="915"/>
        <w:ind w:left="1417" w:right="0" w:firstLine="1"/>
        <w:jc w:val="both"/>
        <w:spacing w:line="240" w:lineRule="auto"/>
        <w:rPr>
          <w:b/>
          <w:bCs/>
          <w:i w:val="0"/>
          <w:iCs w:val="0"/>
          <w:highlight w:val="none"/>
        </w:rPr>
      </w:pPr>
      <w:r>
        <w:rPr>
          <w:b/>
          <w:bCs/>
          <w:i w:val="0"/>
          <w:iCs w:val="0"/>
        </w:rPr>
        <w:t xml:space="preserve">Art. 27 -</w:t>
      </w:r>
      <w:r>
        <w:rPr>
          <w:b/>
          <w:bCs/>
          <w:i w:val="0"/>
          <w:iCs w:val="0"/>
        </w:rPr>
      </w:r>
      <w:r>
        <w:rPr>
          <w:b/>
          <w:bCs/>
          <w:i w:val="0"/>
          <w:iCs w:val="0"/>
          <w:highlight w:val="none"/>
        </w:rPr>
      </w:r>
    </w:p>
    <w:p>
      <w:pPr>
        <w:pStyle w:val="915"/>
        <w:ind w:left="1417" w:right="0" w:firstLine="1"/>
        <w:jc w:val="both"/>
        <w:spacing w:line="240" w:lineRule="auto"/>
        <w:rPr>
          <w:b w:val="0"/>
          <w:bCs/>
          <w:i/>
          <w:highlight w:val="none"/>
        </w:rPr>
      </w:pPr>
      <w:r>
        <w:rPr>
          <w:b/>
          <w:bCs/>
          <w:i w:val="0"/>
          <w:iCs w:val="0"/>
          <w:highlight w:val="none"/>
        </w:rPr>
      </w:r>
      <w:r>
        <w:rPr>
          <w:i/>
          <w:iCs/>
        </w:rPr>
        <w:t xml:space="preserve">Art. 27 -</w:t>
      </w:r>
      <w:r>
        <w:rPr>
          <w:b/>
          <w:bCs/>
          <w:i w:val="0"/>
          <w:iCs w:val="0"/>
          <w:highlight w:val="none"/>
        </w:rPr>
        <w:t xml:space="preserve"> </w:t>
      </w:r>
      <w:r>
        <w:rPr>
          <w:b w:val="0"/>
          <w:bCs w:val="0"/>
          <w:i/>
          <w:iCs/>
          <w:highlight w:val="none"/>
        </w:rPr>
        <w:t xml:space="preserve">O projeto será aprovado pela Prefeitura Municipal, com anuência prévia, quando previsto em lei, das autoridades ambientais estaduais ou federais e do INCRA, quando localizado em zona rural</w:t>
      </w:r>
      <w:r>
        <w:rPr>
          <w:b w:val="0"/>
          <w:bCs w:val="0"/>
          <w:i/>
          <w:iCs/>
          <w:highlight w:val="none"/>
        </w:rPr>
        <w:t xml:space="preserve">.</w:t>
      </w:r>
      <w:r>
        <w:rPr>
          <w:b/>
          <w:bCs/>
          <w:i w:val="0"/>
          <w:iCs w:val="0"/>
          <w:highlight w:val="none"/>
        </w:rPr>
      </w:r>
    </w:p>
    <w:p>
      <w:pPr>
        <w:pStyle w:val="915"/>
        <w:ind w:left="1417" w:right="0" w:firstLine="1"/>
        <w:jc w:val="both"/>
        <w:spacing w:line="240" w:lineRule="auto"/>
        <w:rPr>
          <w:b/>
          <w:bCs/>
          <w:i w:val="0"/>
        </w:rPr>
      </w:pPr>
      <w:r>
        <w:rPr>
          <w:b/>
          <w:bCs/>
          <w:i w:val="0"/>
          <w:iCs w:val="0"/>
          <w:highlight w:val="none"/>
        </w:rPr>
        <w:t xml:space="preserve">Art. 28 - </w:t>
      </w:r>
      <w:r>
        <w:rPr>
          <w:b/>
          <w:bCs/>
          <w:i w:val="0"/>
          <w:iCs w:val="0"/>
          <w:highlight w:val="none"/>
        </w:rPr>
      </w:r>
    </w:p>
    <w:p>
      <w:pPr>
        <w:pStyle w:val="915"/>
        <w:ind w:left="1417" w:right="0" w:firstLine="1"/>
        <w:jc w:val="both"/>
        <w:spacing w:line="240" w:lineRule="auto"/>
        <w:rPr>
          <w:i/>
          <w:iCs/>
          <w:highlight w:val="none"/>
        </w:rPr>
      </w:pPr>
      <w:r>
        <w:rPr>
          <w:i/>
          <w:iCs/>
        </w:rPr>
      </w:r>
      <w:r>
        <w:rPr>
          <w:i/>
          <w:iCs/>
        </w:rPr>
        <w:t xml:space="preserve">Art. 28 - </w:t>
      </w:r>
      <w:r>
        <w:rPr>
          <w:i/>
          <w:iCs/>
        </w:rPr>
        <w:t xml:space="preserve">Após anuência das autoridades e órgãos mencionados no artigo anterior, o loteador deverá apresentar o projeto à Prefeitura Municipal para fins de aprovação, acompanhada dos seguintes projetos complementares: </w:t>
      </w:r>
      <w:r>
        <w:rPr>
          <w:bCs/>
          <w:i/>
          <w:iCs/>
        </w:rPr>
      </w:r>
    </w:p>
    <w:p>
      <w:pPr>
        <w:pStyle w:val="915"/>
        <w:ind w:left="1417" w:right="0" w:firstLine="1"/>
        <w:jc w:val="both"/>
        <w:spacing w:line="240" w:lineRule="auto"/>
      </w:pPr>
      <w:r>
        <w:rPr>
          <w:i/>
          <w:iCs/>
          <w:highlight w:val="none"/>
        </w:rPr>
        <w:t xml:space="preserve">I - Projeto da rede pluvial e esgoto, de acordo com a lei municipal 4569/2017;</w:t>
      </w:r>
      <w:r/>
    </w:p>
    <w:p>
      <w:pPr>
        <w:pStyle w:val="915"/>
        <w:ind w:left="1417" w:right="0" w:firstLine="1"/>
        <w:jc w:val="both"/>
        <w:spacing w:line="240" w:lineRule="auto"/>
      </w:pPr>
      <w:r>
        <w:rPr>
          <w:i/>
          <w:iCs/>
          <w:highlight w:val="none"/>
        </w:rPr>
        <w:t xml:space="preserve">II - Projeto de pavimentação e paisagismo, conforme decreto municipal 9086/2022;</w:t>
      </w:r>
      <w:r/>
    </w:p>
    <w:p>
      <w:pPr>
        <w:pStyle w:val="915"/>
        <w:ind w:left="1417" w:right="0" w:firstLine="1"/>
        <w:jc w:val="both"/>
        <w:spacing w:line="240" w:lineRule="auto"/>
      </w:pPr>
      <w:r>
        <w:rPr>
          <w:i/>
          <w:iCs/>
          <w:highlight w:val="none"/>
        </w:rPr>
        <w:t xml:space="preserve">III - Projeto das obras de arte, tais como pontes, bueiros e similares.</w:t>
      </w:r>
      <w:r/>
    </w:p>
    <w:p>
      <w:pPr>
        <w:pStyle w:val="915"/>
        <w:ind w:left="1417" w:right="0" w:firstLine="1"/>
        <w:jc w:val="both"/>
        <w:spacing w:line="240" w:lineRule="auto"/>
        <w:rPr>
          <w:bCs/>
          <w:i/>
        </w:rPr>
      </w:pPr>
      <w:r>
        <w:rPr>
          <w:i/>
          <w:iCs/>
          <w:highlight w:val="none"/>
        </w:rPr>
        <w:t xml:space="preserve">Parágrafo único: Ficam dispensados os projetos de redes de abastecimento de energia elétrica e água, devendo ser apresentadas somente as ARTs dos responsáveis por tais projetos e execução.</w:t>
      </w:r>
      <w:r>
        <w:rPr>
          <w:i/>
          <w:iCs/>
          <w:highlight w:val="none"/>
        </w:rPr>
      </w:r>
      <w:r>
        <w:rPr>
          <w:i/>
          <w:iCs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bCs/>
          <w:i/>
        </w:rPr>
      </w:r>
    </w:p>
    <w:p>
      <w:pPr>
        <w:pStyle w:val="915"/>
        <w:ind w:firstLine="1418"/>
        <w:jc w:val="both"/>
        <w:spacing w:before="0" w:beforeAutospacing="0" w:after="0" w:afterAutospacing="0" w:line="360" w:lineRule="auto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Art. 2º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Esta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Lei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entrará em vigor na data de sua publicação, ficando revogadas as disposições em contrário.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Style w:val="915"/>
        <w:ind w:firstLine="708"/>
        <w:jc w:val="right"/>
        <w:spacing w:before="0" w:beforeAutospacing="0" w:after="0" w:afterAutospacing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Canguçu, 17 de agosto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de 2023.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pStyle w:val="915"/>
        <w:ind w:firstLine="708"/>
        <w:jc w:val="both"/>
        <w:spacing w:before="0" w:beforeAutospacing="0" w:after="0" w:afterAutospacing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sz w:val="24"/>
          <w:szCs w:val="24"/>
        </w:rPr>
        <w:t xml:space="preserve">LEANDRO GAUGER EHLERT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  <w:t xml:space="preserve">Vereador MDB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left"/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  <w:t xml:space="preserve">JUSTIFICATIVA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highlight w:val="none"/>
        </w:rPr>
      </w:r>
    </w:p>
    <w:p>
      <w:pPr>
        <w:ind w:left="0" w:right="0" w:firstLine="1134"/>
        <w:jc w:val="both"/>
        <w:rPr>
          <w:color w:val="auto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highlight w:val="none"/>
        </w:rPr>
        <w:t xml:space="preserve">Considerando que a Lei Federal 6766/79, que dispõe sobre o parcelamento de solo urbano especifica em seu capítulo III especifica a documentação necessária para a aprovação;</w:t>
      </w:r>
      <w:r>
        <w:rPr>
          <w:color w:val="auto"/>
          <w:sz w:val="24"/>
          <w:szCs w:val="24"/>
        </w:rPr>
      </w:r>
    </w:p>
    <w:p>
      <w:pPr>
        <w:ind w:left="0" w:right="0" w:firstLine="1134"/>
        <w:jc w:val="both"/>
        <w:rPr>
          <w:color w:val="auto"/>
          <w:sz w:val="16"/>
          <w:szCs w:val="16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16"/>
          <w:szCs w:val="16"/>
          <w:highlight w:val="none"/>
        </w:rPr>
      </w:r>
    </w:p>
    <w:p>
      <w:pPr>
        <w:ind w:left="0" w:right="0" w:firstLine="1134"/>
        <w:jc w:val="both"/>
        <w:rPr>
          <w:color w:val="auto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highlight w:val="none"/>
        </w:rPr>
        <w:t xml:space="preserve">Considerando que a aprovação de projetos de redes de abastecimento de energia elétrica em parcelamento do solo compete à empresa CEEE-Equatorial;</w:t>
      </w:r>
      <w:r>
        <w:rPr>
          <w:color w:val="auto"/>
          <w:sz w:val="24"/>
          <w:szCs w:val="24"/>
        </w:rPr>
      </w:r>
    </w:p>
    <w:p>
      <w:pPr>
        <w:ind w:left="0" w:right="0" w:firstLine="1134"/>
        <w:jc w:val="both"/>
        <w:rPr>
          <w:color w:val="auto"/>
          <w:sz w:val="16"/>
          <w:szCs w:val="16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16"/>
          <w:szCs w:val="16"/>
          <w:highlight w:val="none"/>
        </w:rPr>
      </w:r>
    </w:p>
    <w:p>
      <w:pPr>
        <w:ind w:left="0" w:right="0" w:firstLine="1134"/>
        <w:jc w:val="both"/>
        <w:rPr>
          <w:color w:val="auto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highlight w:val="none"/>
        </w:rPr>
        <w:t xml:space="preserve">Considerando que a aprovação de projetos de redes de abastecimento de água em parcelamento do solo compete à empresa Corsan-Aegea;</w:t>
      </w:r>
      <w:r>
        <w:rPr>
          <w:color w:val="auto"/>
          <w:sz w:val="24"/>
          <w:szCs w:val="24"/>
        </w:rPr>
      </w:r>
    </w:p>
    <w:p>
      <w:pPr>
        <w:ind w:left="0" w:right="0" w:firstLine="1134"/>
        <w:jc w:val="both"/>
        <w:rPr>
          <w:color w:val="auto"/>
          <w:sz w:val="16"/>
          <w:szCs w:val="16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16"/>
          <w:szCs w:val="16"/>
          <w:highlight w:val="none"/>
        </w:rPr>
      </w:r>
    </w:p>
    <w:p>
      <w:pPr>
        <w:ind w:left="0" w:right="0" w:firstLine="1134"/>
        <w:jc w:val="both"/>
        <w:spacing w:line="24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highlight w:val="none"/>
        </w:rPr>
        <w:t xml:space="preserve">Considerando que a Lei federal 6766/79, em seu capítulo VI, não prevê a apresentação dos projetos das redes de abastecimento de energia elétrica e água, para o registro do loteamento;</w:t>
      </w:r>
      <w:r>
        <w:rPr>
          <w:color w:val="auto"/>
          <w:sz w:val="24"/>
          <w:szCs w:val="24"/>
        </w:rPr>
      </w:r>
    </w:p>
    <w:p>
      <w:pPr>
        <w:ind w:left="0" w:right="0" w:firstLine="1134"/>
        <w:jc w:val="both"/>
        <w:spacing w:line="240" w:lineRule="auto"/>
        <w:rPr>
          <w:rFonts w:ascii="Times New Roman" w:hAnsi="Times New Roman" w:eastAsia="Times New Roman" w:cs="Times New Roman"/>
          <w:b w:val="0"/>
          <w:bCs w:val="0"/>
          <w:color w:val="auto"/>
          <w:sz w:val="16"/>
          <w:szCs w:val="16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16"/>
          <w:szCs w:val="16"/>
          <w:highlight w:val="none"/>
        </w:rPr>
      </w:r>
    </w:p>
    <w:p>
      <w:pPr>
        <w:ind w:left="0" w:right="0" w:firstLine="1134"/>
        <w:jc w:val="both"/>
        <w:spacing w:line="240" w:lineRule="auto"/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highlight w:val="none"/>
        </w:rPr>
        <w:t xml:space="preserve">Considerando que a execução de loteamentos ocorre em etapas sucessivas e cronológicas, sendo as redes de abastecimento de energia elétrica e de água, posteriores a locação de marcos, movimentações de terra e abertura de vias;</w:t>
      </w:r>
      <w:r>
        <w:rPr>
          <w:color w:val="auto"/>
          <w:sz w:val="24"/>
          <w:szCs w:val="24"/>
          <w:highlight w:val="none"/>
        </w:rPr>
      </w:r>
    </w:p>
    <w:p>
      <w:pPr>
        <w:ind w:left="0" w:right="0" w:firstLine="1134"/>
        <w:jc w:val="both"/>
        <w:spacing w:line="240" w:lineRule="auto"/>
        <w:rPr>
          <w:color w:val="auto"/>
          <w:sz w:val="16"/>
          <w:szCs w:val="16"/>
          <w:highlight w:val="none"/>
        </w:rPr>
      </w:pPr>
      <w:r>
        <w:rPr>
          <w:rFonts w:ascii="Times New Roman" w:hAnsi="Times New Roman" w:eastAsia="Times New Roman" w:cs="Times New Roman"/>
          <w:color w:val="auto"/>
          <w:sz w:val="16"/>
          <w:szCs w:val="16"/>
          <w:highlight w:val="none"/>
        </w:rPr>
      </w:r>
      <w:r>
        <w:rPr>
          <w:color w:val="auto"/>
          <w:sz w:val="16"/>
          <w:szCs w:val="16"/>
          <w:highlight w:val="none"/>
        </w:rPr>
      </w:r>
    </w:p>
    <w:p>
      <w:pPr>
        <w:ind w:left="0" w:right="0" w:firstLine="1134"/>
        <w:jc w:val="both"/>
        <w:spacing w:line="240" w:lineRule="auto"/>
        <w:rPr>
          <w:color w:val="auto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  <w:highlight w:val="none"/>
        </w:rPr>
        <w:t xml:space="preserve">Considerando que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 exigência de entrega de projetos da CEEE-Equatorial e da CORSAN-Aegea em projetos de loteamento no município de Canguçu pode ser considerada uma 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burocracia desnecessária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que 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atrasa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 </w:t>
      </w: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encarece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o processo de aprovação e execução dos loteamentos.</w:t>
      </w:r>
      <w:r>
        <w:rPr>
          <w:color w:val="auto"/>
          <w:sz w:val="24"/>
          <w:szCs w:val="24"/>
        </w:rPr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r>
    </w:p>
    <w:p>
      <w:pPr>
        <w:ind w:left="0" w:right="0" w:firstLine="1134"/>
        <w:jc w:val="both"/>
        <w:spacing w:line="240" w:lineRule="auto"/>
        <w:rPr>
          <w:rFonts w:ascii="Times New Roman" w:hAnsi="Times New Roman" w:eastAsia="Times New Roman" w:cs="Times New Roman"/>
          <w:color w:val="auto"/>
          <w:sz w:val="16"/>
          <w:szCs w:val="16"/>
          <w:highlight w:val="none"/>
        </w:rPr>
      </w:pPr>
      <w:r>
        <w:rPr>
          <w:rFonts w:ascii="Times New Roman" w:hAnsi="Times New Roman" w:eastAsia="Times New Roman" w:cs="Times New Roman"/>
          <w:color w:val="auto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color w:val="auto"/>
          <w:sz w:val="16"/>
          <w:szCs w:val="16"/>
          <w:highlight w:val="none"/>
        </w:rPr>
      </w:r>
    </w:p>
    <w:p>
      <w:pPr>
        <w:ind w:left="0" w:right="0" w:firstLine="1134"/>
        <w:jc w:val="both"/>
        <w:spacing w:line="240" w:lineRule="auto"/>
        <w:rPr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  <w:highlight w:val="none"/>
        </w:rPr>
        <w:t xml:space="preserve">Considerando</w:t>
      </w:r>
      <w:r>
        <w:rPr>
          <w:color w:val="auto"/>
          <w:sz w:val="24"/>
          <w:szCs w:val="24"/>
        </w:rPr>
      </w:r>
      <w:hyperlink r:id="rId11" w:tooltip="https://www.corsan.com.br/" w:history="1">
        <w:r>
          <w:rPr>
            <w:color w:val="auto"/>
            <w:sz w:val="24"/>
            <w:szCs w:val="24"/>
          </w:rPr>
          <w:t xml:space="preserve"> que as Companhias de abastecimento são as empresas responsáveis pela distribuição de energia elétrica e saneamento básico, respectivamente, na área de concessão que abrange o município de Canguçu</w:t>
        </w:r>
      </w:hyperlink>
      <w:r>
        <w:rPr>
          <w:color w:val="auto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No entanto, essas empresas já possuem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normas técnicas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e 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padrões de qualidade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que devem ser seguidos pelos loteadores para garantir a adequação dos projetos às suas redes.</w:t>
      </w:r>
      <w:r>
        <w:rPr>
          <w:color w:val="auto"/>
          <w:sz w:val="24"/>
          <w:szCs w:val="24"/>
        </w:rPr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r>
    </w:p>
    <w:p>
      <w:pPr>
        <w:ind w:left="0" w:right="0" w:firstLine="1134"/>
        <w:jc w:val="both"/>
        <w:spacing w:line="240" w:lineRule="auto"/>
        <w:rPr>
          <w:rFonts w:ascii="Times New Roman" w:hAnsi="Times New Roman" w:eastAsia="Times New Roman" w:cs="Times New Roman"/>
          <w:color w:val="auto"/>
          <w:sz w:val="16"/>
          <w:szCs w:val="16"/>
          <w:highlight w:val="none"/>
        </w:rPr>
      </w:pPr>
      <w:r>
        <w:rPr>
          <w:rFonts w:ascii="Times New Roman" w:hAnsi="Times New Roman" w:eastAsia="Times New Roman" w:cs="Times New Roman"/>
          <w:color w:val="auto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color w:val="auto"/>
          <w:sz w:val="16"/>
          <w:szCs w:val="16"/>
          <w:highlight w:val="none"/>
        </w:rPr>
      </w:r>
    </w:p>
    <w:p>
      <w:pPr>
        <w:ind w:left="0" w:right="0" w:firstLine="1134"/>
        <w:jc w:val="both"/>
        <w:spacing w:line="240" w:lineRule="auto"/>
        <w:rPr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  <w:highlight w:val="none"/>
        </w:rPr>
        <w:t xml:space="preserve">Considerando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que a ent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rega de projetos da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CEEE-Equatorial e da CORSAN-Aegea</w:t>
      </w:r>
      <w:r/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em projetos de loteamento no município de Canguçu pode ser vista como uma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duplicação de esforços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e uma 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invasão de competência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do poder público municipal, que já possui um órgão técnico capacitado para analisar e aprovar os projetos de loteamento, conforme a legislação vigente.</w:t>
      </w:r>
      <w:r>
        <w:rPr>
          <w:color w:val="auto"/>
          <w:sz w:val="24"/>
          <w:szCs w:val="24"/>
        </w:rPr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r>
    </w:p>
    <w:p>
      <w:pPr>
        <w:ind w:left="0" w:right="0" w:firstLine="1134"/>
        <w:jc w:val="both"/>
        <w:spacing w:line="240" w:lineRule="auto"/>
        <w:rPr>
          <w:rFonts w:ascii="Times New Roman" w:hAnsi="Times New Roman" w:eastAsia="Times New Roman" w:cs="Times New Roman"/>
          <w:color w:val="auto"/>
          <w:sz w:val="16"/>
          <w:szCs w:val="16"/>
          <w:highlight w:val="none"/>
        </w:rPr>
      </w:pPr>
      <w:r>
        <w:rPr>
          <w:rFonts w:ascii="Times New Roman" w:hAnsi="Times New Roman" w:eastAsia="Times New Roman" w:cs="Times New Roman"/>
          <w:color w:val="auto"/>
          <w:sz w:val="16"/>
          <w:szCs w:val="16"/>
          <w:highlight w:val="none"/>
        </w:rPr>
      </w:r>
      <w:r>
        <w:rPr>
          <w:rFonts w:ascii="Times New Roman" w:hAnsi="Times New Roman" w:eastAsia="Times New Roman" w:cs="Times New Roman"/>
          <w:color w:val="auto"/>
          <w:sz w:val="16"/>
          <w:szCs w:val="16"/>
          <w:highlight w:val="none"/>
        </w:rPr>
      </w:r>
    </w:p>
    <w:p>
      <w:pPr>
        <w:ind w:left="0" w:right="0" w:firstLine="1134"/>
        <w:jc w:val="both"/>
        <w:spacing w:line="240" w:lineRule="auto"/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pPr>
      <w:r>
        <w:rPr>
          <w:color w:val="auto"/>
          <w:sz w:val="24"/>
          <w:szCs w:val="24"/>
          <w:highlight w:val="none"/>
        </w:rPr>
        <w:t xml:space="preserve">Considerando que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a retirada da exigência de entrega de projetos da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CEEE-Equatorial e da CORSAN-Aegea</w:t>
      </w:r>
      <w:r/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em projetos de loteamento no município de Canguçu pode trazer 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benefícios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4"/>
          <w:szCs w:val="24"/>
        </w:rPr>
        <w:t xml:space="preserve"> t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anto para os loteadores quanto para os consumidores finais, como:</w:t>
      </w:r>
      <w:r>
        <w:rPr>
          <w:color w:val="auto"/>
          <w:sz w:val="24"/>
          <w:szCs w:val="24"/>
        </w:rPr>
      </w:r>
      <w:r>
        <w:rPr>
          <w:rFonts w:ascii="Times New Roman" w:hAnsi="Times New Roman" w:eastAsia="Times New Roman" w:cs="Times New Roman"/>
          <w:color w:val="auto"/>
          <w:sz w:val="24"/>
          <w:szCs w:val="24"/>
          <w:highlight w:val="none"/>
        </w:rPr>
      </w:r>
    </w:p>
    <w:p>
      <w:pPr>
        <w:pStyle w:val="750"/>
        <w:numPr>
          <w:ilvl w:val="0"/>
          <w:numId w:val="1"/>
        </w:numPr>
        <w:ind w:right="0"/>
        <w:jc w:val="both"/>
        <w:spacing w:line="240" w:lineRule="auto"/>
        <w:rPr>
          <w:color w:val="auto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Agilidade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na aprovação e execução dos loteamentos, reduzindo o tempo e os custos envolvidos no processo.</w:t>
      </w:r>
      <w:r>
        <w:rPr>
          <w:color w:val="auto"/>
          <w:sz w:val="24"/>
          <w:szCs w:val="24"/>
        </w:rPr>
      </w:r>
    </w:p>
    <w:p>
      <w:pPr>
        <w:pStyle w:val="750"/>
        <w:numPr>
          <w:ilvl w:val="0"/>
          <w:numId w:val="1"/>
        </w:numPr>
        <w:ind w:right="0"/>
        <w:jc w:val="both"/>
        <w:spacing w:line="240" w:lineRule="auto"/>
        <w:rPr>
          <w:color w:val="auto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Autonomia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dos loteadores para elaborar seus projetos conforme as normas técnicas e os padrões de qualidade da 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CEEE-Equatorial e da CORSAN-Aegea</w:t>
      </w:r>
      <w:r/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</w:p>
    <w:p>
      <w:pPr>
        <w:pStyle w:val="750"/>
        <w:numPr>
          <w:ilvl w:val="0"/>
          <w:numId w:val="1"/>
        </w:numPr>
        <w:ind w:right="0"/>
        <w:jc w:val="both"/>
        <w:spacing w:line="240" w:lineRule="auto"/>
        <w:rPr>
          <w:color w:val="auto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b/>
          <w:color w:val="auto"/>
          <w:sz w:val="24"/>
          <w:szCs w:val="24"/>
        </w:rPr>
        <w:t xml:space="preserve">Competitividade</w:t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do mercado imobiliário, favorecendo a oferta de lotes com infraestrutura adequada e preços acessíveis aos consumidores.</w:t>
      </w:r>
      <w:r>
        <w:rPr>
          <w:color w:val="auto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auto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w="11907" w:h="16840" w:orient="portrait"/>
      <w:pgMar w:top="1417" w:right="1701" w:bottom="1417" w:left="1701" w:header="720" w:footer="113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ell MT">
    <w:panose1 w:val="020206030504050203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  <w:jc w:val="center"/>
    </w:pPr>
    <w:r>
      <w:rPr>
        <w:b/>
      </w:rPr>
      <w:t xml:space="preserve">“DOE SANGUE, DOE ÓRGÃOS, SALVE UMA VIDA!</w:t>
    </w:r>
    <w:r>
      <w:rPr>
        <w:b/>
      </w:rPr>
      <w:t xml:space="preserve"> ”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  <w:tbl>
    <w:tblPr>
      <w:tblW w:w="0" w:type="auto"/>
      <w:jc w:val="center"/>
      <w:tblLook w:val="04A0" w:firstRow="1" w:lastRow="0" w:firstColumn="1" w:lastColumn="0" w:noHBand="0" w:noVBand="1"/>
    </w:tblPr>
    <w:tblGrid>
      <w:gridCol w:w="1676"/>
      <w:gridCol w:w="5568"/>
    </w:tblGrid>
    <w:tr>
      <w:trPr>
        <w:jc w:val="center"/>
      </w:trPr>
      <w:tc>
        <w:tcPr>
          <w:tcW w:w="0" w:type="auto"/>
          <w:vAlign w:val="center"/>
          <w:textDirection w:val="lrTb"/>
          <w:noWrap w:val="false"/>
        </w:tcPr>
        <w:p>
          <w:pPr>
            <w:ind w:right="290"/>
            <w:jc w:val="center"/>
          </w:pPr>
          <w:r>
            <w:rPr>
              <w:lang w:eastAsia="pt-B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723900" cy="742950"/>
                    <wp:effectExtent l="19050" t="0" r="0" b="0"/>
                    <wp:docPr id="1" name="_x0000_i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1945719587" name="_x0000_i0"/>
                            <pic:cNvPicPr>
                              <a:picLocks noChangeAspect="1"/>
                            </pic:cNvPicPr>
                            <pic:nvPr/>
                          </pic:nvPicPr>
                          <pic:blipFill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723899" cy="742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type="#_x0000_t75" o:spt="75" coordsize="21600,21600" o:preferrelative="t" path="m@4@5l@4@11@9@11@9@5xe"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</v:shapetype>
                  <v:shape id="_x0000_i0" o:spid="_x0000_s0" type="#_x0000_t75" style="width:57.00pt;height:58.50pt;mso-wrap-distance-left:0.00pt;mso-wrap-distance-top:0.00pt;mso-wrap-distance-right:0.00pt;mso-wrap-distance-bottom:0.00pt;" stroked="f" strokeweight="0.75pt">
                    <v:path textboxrect="0,0,0,0"/>
                    <v:imagedata r:id="rId1" o:title=""/>
                  </v:shape>
                </w:pict>
              </mc:Fallback>
            </mc:AlternateContent>
          </w:r>
          <w:r/>
        </w:p>
        <w:p>
          <w:pPr>
            <w:pStyle w:val="760"/>
            <w:jc w:val="center"/>
            <w:rPr>
              <w:rFonts w:ascii="Bell MT" w:hAnsi="Bell MT"/>
              <w:sz w:val="22"/>
            </w:rPr>
          </w:pP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  <w:r>
            <w:rPr>
              <w:rFonts w:ascii="Bell MT" w:hAnsi="Bell MT"/>
              <w:sz w:val="22"/>
            </w:rPr>
          </w:r>
        </w:p>
      </w:tc>
      <w:tc>
        <w:tcPr>
          <w:tcW w:w="0" w:type="auto"/>
          <w:vAlign w:val="center"/>
          <w:textDirection w:val="lrTb"/>
          <w:noWrap w:val="false"/>
        </w:tcPr>
        <w:p>
          <w:pPr>
            <w:pStyle w:val="760"/>
            <w:jc w:val="center"/>
            <w:rPr>
              <w:rFonts w:ascii="Bell MT" w:hAnsi="Bell MT"/>
              <w:b/>
              <w:sz w:val="40"/>
              <w:szCs w:val="40"/>
            </w:rPr>
          </w:pPr>
          <w:r>
            <w:rPr>
              <w:rFonts w:ascii="Bell MT" w:hAnsi="Bell MT"/>
              <w:b/>
              <w:sz w:val="40"/>
              <w:szCs w:val="40"/>
            </w:rPr>
            <w:t xml:space="preserve">Câmara Municipal</w:t>
          </w:r>
          <w:r>
            <w:rPr>
              <w:rFonts w:ascii="Bell MT" w:hAnsi="Bell MT"/>
              <w:b/>
              <w:sz w:val="40"/>
              <w:szCs w:val="40"/>
            </w:rPr>
            <w:t xml:space="preserve"> de </w:t>
          </w:r>
          <w:r>
            <w:rPr>
              <w:rFonts w:ascii="Bell MT" w:hAnsi="Bell MT"/>
              <w:b/>
              <w:sz w:val="40"/>
              <w:szCs w:val="40"/>
            </w:rPr>
            <w:t xml:space="preserve">Canguçu</w:t>
          </w:r>
          <w:r>
            <w:rPr>
              <w:rFonts w:ascii="Bell MT" w:hAnsi="Bell MT"/>
              <w:b/>
              <w:sz w:val="40"/>
              <w:szCs w:val="40"/>
            </w:rPr>
          </w:r>
          <w:r>
            <w:rPr>
              <w:rFonts w:ascii="Bell MT" w:hAnsi="Bell MT"/>
              <w:b/>
              <w:sz w:val="40"/>
              <w:szCs w:val="40"/>
            </w:rPr>
          </w:r>
        </w:p>
        <w:p>
          <w:pPr>
            <w:pStyle w:val="760"/>
            <w:jc w:val="center"/>
            <w:rPr>
              <w:rFonts w:ascii="Bell MT" w:hAnsi="Bell MT"/>
              <w:sz w:val="40"/>
              <w:szCs w:val="40"/>
            </w:rPr>
          </w:pPr>
          <w:r>
            <w:rPr>
              <w:rFonts w:ascii="Bell MT" w:hAnsi="Bell MT"/>
              <w:sz w:val="40"/>
              <w:szCs w:val="40"/>
            </w:rPr>
            <w:t xml:space="preserve">Estado do Rio Grande do Sul</w:t>
          </w:r>
          <w:r>
            <w:rPr>
              <w:rFonts w:ascii="Bell MT" w:hAnsi="Bell MT"/>
              <w:sz w:val="40"/>
              <w:szCs w:val="40"/>
            </w:rPr>
          </w:r>
          <w:r>
            <w:rPr>
              <w:rFonts w:ascii="Bell MT" w:hAnsi="Bell MT"/>
              <w:sz w:val="40"/>
              <w:szCs w:val="40"/>
            </w:rPr>
          </w:r>
        </w:p>
      </w:tc>
    </w:tr>
  </w:tbl>
  <w:p>
    <w:pPr>
      <w:jc w:val="center"/>
    </w:pPr>
    <w:r/>
    <w:r/>
  </w:p>
  <w:p>
    <w:pPr>
      <w:jc w:val="center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4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4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4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4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4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4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4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4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2">
    <w:name w:val="Heading 1"/>
    <w:basedOn w:val="909"/>
    <w:next w:val="909"/>
    <w:link w:val="73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3">
    <w:name w:val="Heading 1 Char"/>
    <w:basedOn w:val="910"/>
    <w:link w:val="732"/>
    <w:uiPriority w:val="9"/>
    <w:rPr>
      <w:rFonts w:ascii="Arial" w:hAnsi="Arial" w:eastAsia="Arial" w:cs="Arial"/>
      <w:sz w:val="40"/>
      <w:szCs w:val="40"/>
    </w:rPr>
  </w:style>
  <w:style w:type="paragraph" w:styleId="734">
    <w:name w:val="Heading 2"/>
    <w:basedOn w:val="909"/>
    <w:next w:val="909"/>
    <w:link w:val="7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5">
    <w:name w:val="Heading 2 Char"/>
    <w:basedOn w:val="910"/>
    <w:link w:val="734"/>
    <w:uiPriority w:val="9"/>
    <w:rPr>
      <w:rFonts w:ascii="Arial" w:hAnsi="Arial" w:eastAsia="Arial" w:cs="Arial"/>
      <w:sz w:val="34"/>
    </w:rPr>
  </w:style>
  <w:style w:type="paragraph" w:styleId="736">
    <w:name w:val="Heading 3"/>
    <w:basedOn w:val="909"/>
    <w:next w:val="909"/>
    <w:link w:val="73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7">
    <w:name w:val="Heading 3 Char"/>
    <w:basedOn w:val="910"/>
    <w:link w:val="736"/>
    <w:uiPriority w:val="9"/>
    <w:rPr>
      <w:rFonts w:ascii="Arial" w:hAnsi="Arial" w:eastAsia="Arial" w:cs="Arial"/>
      <w:sz w:val="30"/>
      <w:szCs w:val="30"/>
    </w:rPr>
  </w:style>
  <w:style w:type="paragraph" w:styleId="738">
    <w:name w:val="Heading 4"/>
    <w:basedOn w:val="909"/>
    <w:next w:val="909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9">
    <w:name w:val="Heading 4 Char"/>
    <w:basedOn w:val="910"/>
    <w:link w:val="738"/>
    <w:uiPriority w:val="9"/>
    <w:rPr>
      <w:rFonts w:ascii="Arial" w:hAnsi="Arial" w:eastAsia="Arial" w:cs="Arial"/>
      <w:b/>
      <w:bCs/>
      <w:sz w:val="26"/>
      <w:szCs w:val="26"/>
    </w:rPr>
  </w:style>
  <w:style w:type="paragraph" w:styleId="740">
    <w:name w:val="Heading 5"/>
    <w:basedOn w:val="909"/>
    <w:next w:val="909"/>
    <w:link w:val="74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1">
    <w:name w:val="Heading 5 Char"/>
    <w:basedOn w:val="910"/>
    <w:link w:val="740"/>
    <w:uiPriority w:val="9"/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909"/>
    <w:next w:val="909"/>
    <w:link w:val="74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3">
    <w:name w:val="Heading 6 Char"/>
    <w:basedOn w:val="910"/>
    <w:link w:val="742"/>
    <w:uiPriority w:val="9"/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909"/>
    <w:next w:val="909"/>
    <w:link w:val="74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5">
    <w:name w:val="Heading 7 Char"/>
    <w:basedOn w:val="910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6">
    <w:name w:val="Heading 8"/>
    <w:basedOn w:val="909"/>
    <w:next w:val="909"/>
    <w:link w:val="74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7">
    <w:name w:val="Heading 8 Char"/>
    <w:basedOn w:val="910"/>
    <w:link w:val="746"/>
    <w:uiPriority w:val="9"/>
    <w:rPr>
      <w:rFonts w:ascii="Arial" w:hAnsi="Arial" w:eastAsia="Arial" w:cs="Arial"/>
      <w:i/>
      <w:iCs/>
      <w:sz w:val="22"/>
      <w:szCs w:val="22"/>
    </w:rPr>
  </w:style>
  <w:style w:type="paragraph" w:styleId="748">
    <w:name w:val="Heading 9"/>
    <w:basedOn w:val="909"/>
    <w:next w:val="909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9">
    <w:name w:val="Heading 9 Char"/>
    <w:basedOn w:val="910"/>
    <w:link w:val="748"/>
    <w:uiPriority w:val="9"/>
    <w:rPr>
      <w:rFonts w:ascii="Arial" w:hAnsi="Arial" w:eastAsia="Arial" w:cs="Arial"/>
      <w:i/>
      <w:iCs/>
      <w:sz w:val="21"/>
      <w:szCs w:val="21"/>
    </w:rPr>
  </w:style>
  <w:style w:type="paragraph" w:styleId="750">
    <w:name w:val="List Paragraph"/>
    <w:basedOn w:val="909"/>
    <w:uiPriority w:val="34"/>
    <w:qFormat/>
    <w:pPr>
      <w:contextualSpacing/>
      <w:ind w:left="720"/>
    </w:pPr>
  </w:style>
  <w:style w:type="paragraph" w:styleId="751">
    <w:name w:val="No Spacing"/>
    <w:uiPriority w:val="1"/>
    <w:qFormat/>
    <w:pPr>
      <w:spacing w:before="0" w:after="0" w:line="240" w:lineRule="auto"/>
    </w:pPr>
  </w:style>
  <w:style w:type="paragraph" w:styleId="752">
    <w:name w:val="Title"/>
    <w:basedOn w:val="909"/>
    <w:next w:val="909"/>
    <w:link w:val="7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3">
    <w:name w:val="Title Char"/>
    <w:basedOn w:val="910"/>
    <w:link w:val="752"/>
    <w:uiPriority w:val="10"/>
    <w:rPr>
      <w:sz w:val="48"/>
      <w:szCs w:val="48"/>
    </w:rPr>
  </w:style>
  <w:style w:type="paragraph" w:styleId="754">
    <w:name w:val="Subtitle"/>
    <w:basedOn w:val="909"/>
    <w:next w:val="909"/>
    <w:link w:val="755"/>
    <w:uiPriority w:val="11"/>
    <w:qFormat/>
    <w:pPr>
      <w:spacing w:before="200" w:after="200"/>
    </w:pPr>
    <w:rPr>
      <w:sz w:val="24"/>
      <w:szCs w:val="24"/>
    </w:rPr>
  </w:style>
  <w:style w:type="character" w:styleId="755">
    <w:name w:val="Subtitle Char"/>
    <w:basedOn w:val="910"/>
    <w:link w:val="754"/>
    <w:uiPriority w:val="11"/>
    <w:rPr>
      <w:sz w:val="24"/>
      <w:szCs w:val="24"/>
    </w:rPr>
  </w:style>
  <w:style w:type="paragraph" w:styleId="756">
    <w:name w:val="Quote"/>
    <w:basedOn w:val="909"/>
    <w:next w:val="909"/>
    <w:link w:val="757"/>
    <w:uiPriority w:val="29"/>
    <w:qFormat/>
    <w:pPr>
      <w:ind w:left="720" w:right="720"/>
    </w:pPr>
    <w:rPr>
      <w:i/>
    </w:rPr>
  </w:style>
  <w:style w:type="character" w:styleId="757">
    <w:name w:val="Quote Char"/>
    <w:link w:val="756"/>
    <w:uiPriority w:val="29"/>
    <w:rPr>
      <w:i/>
    </w:rPr>
  </w:style>
  <w:style w:type="paragraph" w:styleId="758">
    <w:name w:val="Intense Quote"/>
    <w:basedOn w:val="909"/>
    <w:next w:val="909"/>
    <w:link w:val="7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9">
    <w:name w:val="Intense Quote Char"/>
    <w:link w:val="758"/>
    <w:uiPriority w:val="30"/>
    <w:rPr>
      <w:i/>
    </w:rPr>
  </w:style>
  <w:style w:type="paragraph" w:styleId="760">
    <w:name w:val="Header"/>
    <w:basedOn w:val="909"/>
    <w:link w:val="7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1">
    <w:name w:val="Header Char"/>
    <w:basedOn w:val="910"/>
    <w:link w:val="760"/>
    <w:uiPriority w:val="99"/>
  </w:style>
  <w:style w:type="character" w:styleId="762">
    <w:name w:val="Footer Char"/>
    <w:basedOn w:val="910"/>
    <w:link w:val="913"/>
    <w:uiPriority w:val="99"/>
  </w:style>
  <w:style w:type="paragraph" w:styleId="763">
    <w:name w:val="Caption"/>
    <w:basedOn w:val="909"/>
    <w:next w:val="90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4">
    <w:name w:val="Caption Char"/>
    <w:basedOn w:val="763"/>
    <w:link w:val="913"/>
    <w:uiPriority w:val="99"/>
  </w:style>
  <w:style w:type="table" w:styleId="765">
    <w:name w:val="Table Grid"/>
    <w:basedOn w:val="91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6">
    <w:name w:val="Table Grid Light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2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3">
    <w:name w:val="Grid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5">
    <w:name w:val="List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6">
    <w:name w:val="List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7">
    <w:name w:val="List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8">
    <w:name w:val="List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9">
    <w:name w:val="List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0">
    <w:name w:val="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 &amp; 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Bordered &amp; 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Bordered &amp; 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Bordered &amp; 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Bordered &amp; 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Bordered &amp; 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1">
    <w:name w:val="Hyperlink"/>
    <w:uiPriority w:val="99"/>
    <w:unhideWhenUsed/>
    <w:rPr>
      <w:color w:val="0000ff" w:themeColor="hyperlink"/>
      <w:u w:val="single"/>
    </w:rPr>
  </w:style>
  <w:style w:type="paragraph" w:styleId="892">
    <w:name w:val="footnote text"/>
    <w:basedOn w:val="909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>
    <w:name w:val="Footnote Text Char"/>
    <w:link w:val="892"/>
    <w:uiPriority w:val="99"/>
    <w:rPr>
      <w:sz w:val="18"/>
    </w:rPr>
  </w:style>
  <w:style w:type="character" w:styleId="894">
    <w:name w:val="footnote reference"/>
    <w:basedOn w:val="910"/>
    <w:uiPriority w:val="99"/>
    <w:unhideWhenUsed/>
    <w:rPr>
      <w:vertAlign w:val="superscript"/>
    </w:rPr>
  </w:style>
  <w:style w:type="paragraph" w:styleId="895">
    <w:name w:val="endnote text"/>
    <w:basedOn w:val="909"/>
    <w:link w:val="896"/>
    <w:uiPriority w:val="99"/>
    <w:semiHidden/>
    <w:unhideWhenUsed/>
    <w:pPr>
      <w:spacing w:after="0" w:line="240" w:lineRule="auto"/>
    </w:pPr>
    <w:rPr>
      <w:sz w:val="20"/>
    </w:rPr>
  </w:style>
  <w:style w:type="character" w:styleId="896">
    <w:name w:val="Endnote Text Char"/>
    <w:link w:val="895"/>
    <w:uiPriority w:val="99"/>
    <w:rPr>
      <w:sz w:val="20"/>
    </w:rPr>
  </w:style>
  <w:style w:type="character" w:styleId="897">
    <w:name w:val="endnote reference"/>
    <w:basedOn w:val="910"/>
    <w:uiPriority w:val="99"/>
    <w:semiHidden/>
    <w:unhideWhenUsed/>
    <w:rPr>
      <w:vertAlign w:val="superscript"/>
    </w:rPr>
  </w:style>
  <w:style w:type="paragraph" w:styleId="898">
    <w:name w:val="toc 1"/>
    <w:basedOn w:val="909"/>
    <w:next w:val="909"/>
    <w:uiPriority w:val="39"/>
    <w:unhideWhenUsed/>
    <w:pPr>
      <w:ind w:left="0" w:right="0" w:firstLine="0"/>
      <w:spacing w:after="57"/>
    </w:pPr>
  </w:style>
  <w:style w:type="paragraph" w:styleId="899">
    <w:name w:val="toc 2"/>
    <w:basedOn w:val="909"/>
    <w:next w:val="909"/>
    <w:uiPriority w:val="39"/>
    <w:unhideWhenUsed/>
    <w:pPr>
      <w:ind w:left="283" w:right="0" w:firstLine="0"/>
      <w:spacing w:after="57"/>
    </w:pPr>
  </w:style>
  <w:style w:type="paragraph" w:styleId="900">
    <w:name w:val="toc 3"/>
    <w:basedOn w:val="909"/>
    <w:next w:val="909"/>
    <w:uiPriority w:val="39"/>
    <w:unhideWhenUsed/>
    <w:pPr>
      <w:ind w:left="567" w:right="0" w:firstLine="0"/>
      <w:spacing w:after="57"/>
    </w:pPr>
  </w:style>
  <w:style w:type="paragraph" w:styleId="901">
    <w:name w:val="toc 4"/>
    <w:basedOn w:val="909"/>
    <w:next w:val="909"/>
    <w:uiPriority w:val="39"/>
    <w:unhideWhenUsed/>
    <w:pPr>
      <w:ind w:left="850" w:right="0" w:firstLine="0"/>
      <w:spacing w:after="57"/>
    </w:pPr>
  </w:style>
  <w:style w:type="paragraph" w:styleId="902">
    <w:name w:val="toc 5"/>
    <w:basedOn w:val="909"/>
    <w:next w:val="909"/>
    <w:uiPriority w:val="39"/>
    <w:unhideWhenUsed/>
    <w:pPr>
      <w:ind w:left="1134" w:right="0" w:firstLine="0"/>
      <w:spacing w:after="57"/>
    </w:pPr>
  </w:style>
  <w:style w:type="paragraph" w:styleId="903">
    <w:name w:val="toc 6"/>
    <w:basedOn w:val="909"/>
    <w:next w:val="909"/>
    <w:uiPriority w:val="39"/>
    <w:unhideWhenUsed/>
    <w:pPr>
      <w:ind w:left="1417" w:right="0" w:firstLine="0"/>
      <w:spacing w:after="57"/>
    </w:pPr>
  </w:style>
  <w:style w:type="paragraph" w:styleId="904">
    <w:name w:val="toc 7"/>
    <w:basedOn w:val="909"/>
    <w:next w:val="909"/>
    <w:uiPriority w:val="39"/>
    <w:unhideWhenUsed/>
    <w:pPr>
      <w:ind w:left="1701" w:right="0" w:firstLine="0"/>
      <w:spacing w:after="57"/>
    </w:pPr>
  </w:style>
  <w:style w:type="paragraph" w:styleId="905">
    <w:name w:val="toc 8"/>
    <w:basedOn w:val="909"/>
    <w:next w:val="909"/>
    <w:uiPriority w:val="39"/>
    <w:unhideWhenUsed/>
    <w:pPr>
      <w:ind w:left="1984" w:right="0" w:firstLine="0"/>
      <w:spacing w:after="57"/>
    </w:pPr>
  </w:style>
  <w:style w:type="paragraph" w:styleId="906">
    <w:name w:val="toc 9"/>
    <w:basedOn w:val="909"/>
    <w:next w:val="909"/>
    <w:uiPriority w:val="39"/>
    <w:unhideWhenUsed/>
    <w:pPr>
      <w:ind w:left="2268" w:right="0" w:firstLine="0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909"/>
    <w:next w:val="909"/>
    <w:uiPriority w:val="99"/>
    <w:unhideWhenUsed/>
    <w:pPr>
      <w:spacing w:after="0" w:afterAutospacing="0"/>
    </w:pPr>
  </w:style>
  <w:style w:type="paragraph" w:styleId="90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10" w:default="1">
    <w:name w:val="Default Paragraph Font"/>
    <w:uiPriority w:val="1"/>
    <w:semiHidden/>
    <w:unhideWhenUsed/>
  </w:style>
  <w:style w:type="table" w:styleId="911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paragraph" w:styleId="913">
    <w:name w:val="Footer"/>
    <w:basedOn w:val="909"/>
    <w:link w:val="914"/>
    <w:semiHidden/>
    <w:pPr>
      <w:tabs>
        <w:tab w:val="center" w:pos="4320" w:leader="none"/>
        <w:tab w:val="right" w:pos="8640" w:leader="none"/>
      </w:tabs>
    </w:pPr>
  </w:style>
  <w:style w:type="character" w:styleId="914" w:customStyle="1">
    <w:name w:val="Rodapé Char"/>
    <w:basedOn w:val="910"/>
    <w:link w:val="913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15">
    <w:name w:val="Normal (Web)"/>
    <w:basedOn w:val="90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916">
    <w:name w:val="Balloon Text"/>
    <w:basedOn w:val="909"/>
    <w:link w:val="917"/>
    <w:uiPriority w:val="99"/>
    <w:semiHidden/>
    <w:unhideWhenUsed/>
    <w:rPr>
      <w:rFonts w:ascii="Tahoma" w:hAnsi="Tahoma" w:cs="Tahoma"/>
      <w:sz w:val="16"/>
      <w:szCs w:val="16"/>
    </w:rPr>
  </w:style>
  <w:style w:type="character" w:styleId="917" w:customStyle="1">
    <w:name w:val="Texto de balão Char"/>
    <w:basedOn w:val="910"/>
    <w:link w:val="916"/>
    <w:uiPriority w:val="99"/>
    <w:semiHidden/>
    <w:rPr>
      <w:rFonts w:ascii="Tahoma" w:hAnsi="Tahoma" w:eastAsia="Times New Roman" w:cs="Tahoma"/>
      <w:sz w:val="16"/>
      <w:szCs w:val="16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hyperlink" Target="https://www.corsan.com.br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revision>14</cp:revision>
  <dcterms:created xsi:type="dcterms:W3CDTF">2023-03-15T13:33:00Z</dcterms:created>
  <dcterms:modified xsi:type="dcterms:W3CDTF">2023-08-17T11:57:48Z</dcterms:modified>
</cp:coreProperties>
</file>