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B85" w:rsidRPr="004F3B36" w:rsidRDefault="00737F27" w:rsidP="001F77AE">
      <w:pPr>
        <w:jc w:val="center"/>
        <w:rPr>
          <w:rFonts w:ascii="Arial" w:hAnsi="Arial" w:cs="Arial"/>
        </w:rPr>
      </w:pPr>
      <w:r w:rsidRPr="004F3B36">
        <w:rPr>
          <w:rFonts w:ascii="Arial" w:hAnsi="Arial" w:cs="Arial"/>
        </w:rPr>
        <w:t>Estância Velha</w:t>
      </w:r>
      <w:r w:rsidR="0031693C">
        <w:rPr>
          <w:rFonts w:ascii="Arial" w:hAnsi="Arial" w:cs="Arial"/>
        </w:rPr>
        <w:t xml:space="preserve"> - </w:t>
      </w:r>
      <w:r w:rsidRPr="004F3B36">
        <w:rPr>
          <w:rFonts w:ascii="Arial" w:hAnsi="Arial" w:cs="Arial"/>
        </w:rPr>
        <w:t xml:space="preserve">RS, </w:t>
      </w:r>
      <w:r w:rsidR="00AE1903">
        <w:rPr>
          <w:rFonts w:ascii="Arial" w:hAnsi="Arial" w:cs="Arial"/>
        </w:rPr>
        <w:t>07 de novembro</w:t>
      </w:r>
      <w:r w:rsidR="00A404AE">
        <w:rPr>
          <w:rFonts w:ascii="Arial" w:hAnsi="Arial" w:cs="Arial"/>
        </w:rPr>
        <w:t>de</w:t>
      </w:r>
      <w:r w:rsidR="005006F5">
        <w:rPr>
          <w:rFonts w:ascii="Arial" w:hAnsi="Arial" w:cs="Arial"/>
        </w:rPr>
        <w:t xml:space="preserve"> 2019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AE1903" w:rsidRDefault="00054B85" w:rsidP="00AE1903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AE1903">
        <w:rPr>
          <w:rFonts w:ascii="Arial" w:hAnsi="Arial" w:cs="Arial"/>
          <w:b/>
        </w:rPr>
        <w:t>A</w:t>
      </w:r>
      <w:r w:rsidR="00AE1903" w:rsidRPr="00AE1903">
        <w:rPr>
          <w:rFonts w:ascii="Arial" w:hAnsi="Arial" w:cs="Arial"/>
          <w:b/>
        </w:rPr>
        <w:t>cresce dispositivo na Lei</w:t>
      </w:r>
      <w:r w:rsidR="001E799C">
        <w:rPr>
          <w:rFonts w:ascii="Arial" w:hAnsi="Arial" w:cs="Arial"/>
          <w:b/>
        </w:rPr>
        <w:t xml:space="preserve"> Municipal</w:t>
      </w:r>
      <w:r w:rsidR="00AE1903" w:rsidRPr="00AE1903">
        <w:rPr>
          <w:rFonts w:ascii="Arial" w:hAnsi="Arial" w:cs="Arial"/>
          <w:b/>
        </w:rPr>
        <w:t xml:space="preserve"> nº </w:t>
      </w:r>
      <w:r w:rsidR="00AE1903">
        <w:rPr>
          <w:rFonts w:ascii="Arial" w:hAnsi="Arial" w:cs="Arial"/>
          <w:b/>
        </w:rPr>
        <w:t>2.225, de 15 de maio de 2017</w:t>
      </w:r>
      <w:r w:rsidR="00AE1903" w:rsidRPr="00AE1903">
        <w:rPr>
          <w:rFonts w:ascii="Arial" w:hAnsi="Arial" w:cs="Arial"/>
          <w:b/>
        </w:rPr>
        <w:t>,</w:t>
      </w:r>
      <w:r w:rsidR="00AE1903">
        <w:rPr>
          <w:rFonts w:ascii="Arial" w:hAnsi="Arial" w:cs="Arial"/>
          <w:b/>
        </w:rPr>
        <w:t xml:space="preserve"> que: “</w:t>
      </w:r>
      <w:r w:rsidR="00AE1903" w:rsidRPr="00AE1903">
        <w:rPr>
          <w:rFonts w:ascii="Arial" w:hAnsi="Arial" w:cs="Arial"/>
          <w:b/>
          <w:bCs/>
        </w:rPr>
        <w:t>ESTABELECE LEI DA FICHA LIMPA MUNICIPAL, DISCIPLINA AS NOMEAÇÕES PARA CARGOS EM COMISSÃO E EFETIVO, NO ÂMBITO DO PODER EXECUTIVO E LEGISLATIVO MUNICIPAL DE ESTÂNCIA VELHA</w:t>
      </w:r>
      <w:r w:rsidR="00AE1903">
        <w:rPr>
          <w:rFonts w:ascii="Arial" w:hAnsi="Arial" w:cs="Arial"/>
          <w:b/>
          <w:bCs/>
        </w:rPr>
        <w:t>.”,</w:t>
      </w:r>
      <w:r w:rsidR="00AE1903" w:rsidRPr="00AE1903">
        <w:rPr>
          <w:rFonts w:ascii="Arial" w:hAnsi="Arial" w:cs="Arial"/>
          <w:b/>
        </w:rPr>
        <w:t xml:space="preserve"> vedando a nomeação </w:t>
      </w:r>
      <w:r w:rsidR="00AE1903">
        <w:rPr>
          <w:rFonts w:ascii="Arial" w:hAnsi="Arial" w:cs="Arial"/>
          <w:b/>
        </w:rPr>
        <w:t xml:space="preserve">para os </w:t>
      </w:r>
      <w:r w:rsidR="00AE1903" w:rsidRPr="00AE1903">
        <w:rPr>
          <w:rFonts w:ascii="Arial" w:hAnsi="Arial" w:cs="Arial"/>
          <w:b/>
        </w:rPr>
        <w:t>condenados pela Lei</w:t>
      </w:r>
      <w:r w:rsidR="00AE1903">
        <w:rPr>
          <w:rFonts w:ascii="Arial" w:hAnsi="Arial" w:cs="Arial"/>
          <w:b/>
        </w:rPr>
        <w:t xml:space="preserve"> Federal nº</w:t>
      </w:r>
      <w:r w:rsidR="00AE1903" w:rsidRPr="00AE1903">
        <w:rPr>
          <w:rFonts w:ascii="Arial" w:hAnsi="Arial" w:cs="Arial"/>
          <w:b/>
        </w:rPr>
        <w:t xml:space="preserve"> 11.340, de</w:t>
      </w:r>
      <w:r w:rsidR="00AE1903">
        <w:rPr>
          <w:rFonts w:ascii="Arial" w:hAnsi="Arial" w:cs="Arial"/>
          <w:b/>
        </w:rPr>
        <w:t xml:space="preserve"> 07 de</w:t>
      </w:r>
      <w:r w:rsidR="00AE1903" w:rsidRPr="00AE1903">
        <w:rPr>
          <w:rFonts w:ascii="Arial" w:hAnsi="Arial" w:cs="Arial"/>
          <w:b/>
        </w:rPr>
        <w:t xml:space="preserve"> agosto de 2006 – LEI MARIA DA </w:t>
      </w:r>
      <w:r w:rsidR="00AE1903">
        <w:rPr>
          <w:rFonts w:ascii="Arial" w:hAnsi="Arial" w:cs="Arial"/>
          <w:b/>
        </w:rPr>
        <w:t>PENHA</w:t>
      </w:r>
      <w:r w:rsidR="0046643A" w:rsidRPr="0046643A">
        <w:rPr>
          <w:rFonts w:ascii="Arial" w:hAnsi="Arial" w:cs="Arial"/>
          <w:b/>
          <w:bCs/>
          <w:iCs/>
        </w:rPr>
        <w:t>.</w:t>
      </w:r>
      <w:r w:rsidR="001F77AE">
        <w:rPr>
          <w:rFonts w:ascii="Arial" w:hAnsi="Arial" w:cs="Arial"/>
          <w:b/>
          <w:bCs/>
          <w:iCs/>
        </w:rPr>
        <w:t>”</w:t>
      </w:r>
    </w:p>
    <w:p w:rsidR="00961DF4" w:rsidRDefault="00A20462" w:rsidP="00AE190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Esta</w:t>
      </w:r>
      <w:r w:rsidR="00961DF4" w:rsidRPr="00AE1903">
        <w:rPr>
          <w:rFonts w:ascii="Arial" w:hAnsi="Arial" w:cs="Arial"/>
        </w:rPr>
        <w:t xml:space="preserve"> proposta</w:t>
      </w:r>
      <w:r>
        <w:rPr>
          <w:rFonts w:ascii="Arial" w:hAnsi="Arial" w:cs="Arial"/>
        </w:rPr>
        <w:t xml:space="preserve"> legislativa</w:t>
      </w:r>
      <w:r w:rsidR="00961DF4">
        <w:rPr>
          <w:rFonts w:ascii="Arial" w:hAnsi="Arial" w:cs="Arial"/>
        </w:rPr>
        <w:t>visa impedir a contratação de servidor público que tenha sido condenado</w:t>
      </w:r>
      <w:r>
        <w:rPr>
          <w:rFonts w:ascii="Arial" w:hAnsi="Arial" w:cs="Arial"/>
        </w:rPr>
        <w:t xml:space="preserve"> por</w:t>
      </w:r>
      <w:r w:rsidR="00961DF4" w:rsidRPr="00AE1903">
        <w:rPr>
          <w:rFonts w:ascii="Arial" w:hAnsi="Arial" w:cs="Arial"/>
        </w:rPr>
        <w:t xml:space="preserve"> crimes tipificados como</w:t>
      </w:r>
      <w:r>
        <w:rPr>
          <w:rFonts w:ascii="Arial" w:hAnsi="Arial" w:cs="Arial"/>
        </w:rPr>
        <w:t xml:space="preserve"> de </w:t>
      </w:r>
      <w:r w:rsidR="00AE1903" w:rsidRPr="00AE1903">
        <w:rPr>
          <w:rFonts w:ascii="Arial" w:hAnsi="Arial" w:cs="Arial"/>
        </w:rPr>
        <w:t>violência</w:t>
      </w:r>
      <w:proofErr w:type="gramStart"/>
      <w:r w:rsidR="00AE1903" w:rsidRPr="00AE1903">
        <w:rPr>
          <w:rFonts w:ascii="Arial" w:hAnsi="Arial" w:cs="Arial"/>
        </w:rPr>
        <w:t xml:space="preserve">  </w:t>
      </w:r>
      <w:proofErr w:type="gramEnd"/>
      <w:r w:rsidR="00AE1903" w:rsidRPr="00AE1903">
        <w:rPr>
          <w:rFonts w:ascii="Arial" w:hAnsi="Arial" w:cs="Arial"/>
        </w:rPr>
        <w:t>doméstica  e familiar contra a mulher.</w:t>
      </w:r>
    </w:p>
    <w:p w:rsidR="00961DF4" w:rsidRDefault="00A20462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</w:t>
      </w:r>
      <w:r w:rsidR="00961DF4">
        <w:rPr>
          <w:rFonts w:ascii="Arial" w:hAnsi="Arial" w:cs="Arial"/>
        </w:rPr>
        <w:t>essa</w:t>
      </w:r>
      <w:proofErr w:type="gramStart"/>
      <w:r w:rsidR="00961DF4">
        <w:rPr>
          <w:rFonts w:ascii="Arial" w:hAnsi="Arial" w:cs="Arial"/>
        </w:rPr>
        <w:t xml:space="preserve">  </w:t>
      </w:r>
      <w:proofErr w:type="gramEnd"/>
      <w:r w:rsidR="00961DF4">
        <w:rPr>
          <w:rFonts w:ascii="Arial" w:hAnsi="Arial" w:cs="Arial"/>
        </w:rPr>
        <w:t>alteração</w:t>
      </w:r>
      <w:r w:rsidR="00961DF4" w:rsidRPr="00961DF4">
        <w:rPr>
          <w:rFonts w:ascii="Arial" w:hAnsi="Arial" w:cs="Arial"/>
        </w:rPr>
        <w:t>,  pretende-se  proteger  a  probidade  administrativa,  a  moralidade</w:t>
      </w:r>
      <w:r w:rsidR="00961DF4">
        <w:rPr>
          <w:rFonts w:ascii="Arial" w:hAnsi="Arial" w:cs="Arial"/>
        </w:rPr>
        <w:t>, visto que nosso</w:t>
      </w:r>
      <w:r w:rsidR="00961DF4" w:rsidRPr="00961DF4">
        <w:rPr>
          <w:rFonts w:ascii="Arial" w:hAnsi="Arial" w:cs="Arial"/>
        </w:rPr>
        <w:t xml:space="preserve"> país  </w:t>
      </w:r>
      <w:r w:rsidR="00961DF4">
        <w:rPr>
          <w:rFonts w:ascii="Arial" w:hAnsi="Arial" w:cs="Arial"/>
        </w:rPr>
        <w:t>ainda  precisa</w:t>
      </w:r>
      <w:r w:rsidR="00961DF4" w:rsidRPr="00961DF4">
        <w:rPr>
          <w:rFonts w:ascii="Arial" w:hAnsi="Arial" w:cs="Arial"/>
        </w:rPr>
        <w:t xml:space="preserve">  de  previsão  legal  para  impedir  condenados</w:t>
      </w:r>
      <w:r w:rsidR="00961DF4">
        <w:rPr>
          <w:rFonts w:ascii="Arial" w:hAnsi="Arial" w:cs="Arial"/>
        </w:rPr>
        <w:t xml:space="preserve"> pela lei Maria da Penha</w:t>
      </w:r>
      <w:r w:rsidR="00961DF4" w:rsidRPr="00961DF4">
        <w:rPr>
          <w:rFonts w:ascii="Arial" w:hAnsi="Arial" w:cs="Arial"/>
        </w:rPr>
        <w:t xml:space="preserve"> de ocuparem cargos públicos, todavia, a situação exige medidas efetivas, a realidade é GRAVE</w:t>
      </w:r>
      <w:r w:rsidR="00961DF4">
        <w:rPr>
          <w:rFonts w:ascii="Arial" w:hAnsi="Arial" w:cs="Arial"/>
        </w:rPr>
        <w:t>.</w:t>
      </w:r>
    </w:p>
    <w:p w:rsidR="00961DF4" w:rsidRPr="00961DF4" w:rsidRDefault="00961DF4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Segundo o site</w:t>
      </w:r>
      <w:r w:rsidRPr="00961DF4">
        <w:rPr>
          <w:rFonts w:ascii="Arial" w:hAnsi="Arial" w:cs="Arial"/>
        </w:rPr>
        <w:t xml:space="preserve"> Relógios da Violência do instituto Maria da Penha</w:t>
      </w:r>
      <w:r>
        <w:rPr>
          <w:rStyle w:val="Refdenotaderodap"/>
          <w:rFonts w:ascii="Arial" w:hAnsi="Arial" w:cs="Arial"/>
        </w:rPr>
        <w:footnoteReference w:id="2"/>
      </w:r>
      <w:r w:rsidRPr="00961DF4">
        <w:rPr>
          <w:rFonts w:ascii="Arial" w:hAnsi="Arial" w:cs="Arial"/>
        </w:rPr>
        <w:t xml:space="preserve">: </w:t>
      </w:r>
    </w:p>
    <w:p w:rsidR="00961DF4" w:rsidRPr="00961DF4" w:rsidRDefault="00A20462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</w:t>
      </w:r>
      <w:r w:rsidR="00961DF4" w:rsidRPr="00961DF4">
        <w:rPr>
          <w:rFonts w:ascii="Arial" w:hAnsi="Arial" w:cs="Arial"/>
          <w:b/>
        </w:rPr>
        <w:t>CADA</w:t>
      </w:r>
      <w:proofErr w:type="gramStart"/>
      <w:r w:rsidR="00961DF4" w:rsidRPr="00961DF4">
        <w:rPr>
          <w:rFonts w:ascii="Arial" w:hAnsi="Arial" w:cs="Arial"/>
          <w:b/>
        </w:rPr>
        <w:t xml:space="preserve">  </w:t>
      </w:r>
      <w:proofErr w:type="gramEnd"/>
      <w:r w:rsidR="00961DF4" w:rsidRPr="00961DF4">
        <w:rPr>
          <w:rFonts w:ascii="Arial" w:hAnsi="Arial" w:cs="Arial"/>
          <w:b/>
        </w:rPr>
        <w:t xml:space="preserve">2  SEGUNDOS, UMA  MULHER É  VÍTIMA  DE  VIOLÊNCIA  FÍSICA  OU VERBAL  NO BRASIL; </w:t>
      </w:r>
    </w:p>
    <w:p w:rsidR="00961DF4" w:rsidRPr="00961DF4" w:rsidRDefault="00961DF4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961DF4">
        <w:rPr>
          <w:rFonts w:ascii="Arial" w:hAnsi="Arial" w:cs="Arial"/>
          <w:b/>
        </w:rPr>
        <w:t>A CA</w:t>
      </w:r>
      <w:r w:rsidR="00A20462">
        <w:rPr>
          <w:rFonts w:ascii="Arial" w:hAnsi="Arial" w:cs="Arial"/>
          <w:b/>
        </w:rPr>
        <w:t>DA 6.3 SEGUNDOS, UMA MULHER É VÍ</w:t>
      </w:r>
      <w:r w:rsidRPr="00961DF4">
        <w:rPr>
          <w:rFonts w:ascii="Arial" w:hAnsi="Arial" w:cs="Arial"/>
          <w:b/>
        </w:rPr>
        <w:t xml:space="preserve">TIMA DE AMEAÇA DE VIOLÊNCIA; </w:t>
      </w:r>
    </w:p>
    <w:p w:rsidR="00961DF4" w:rsidRPr="00961DF4" w:rsidRDefault="00961DF4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961DF4">
        <w:rPr>
          <w:rFonts w:ascii="Arial" w:hAnsi="Arial" w:cs="Arial"/>
          <w:b/>
        </w:rPr>
        <w:lastRenderedPageBreak/>
        <w:t>A</w:t>
      </w:r>
      <w:r>
        <w:rPr>
          <w:rFonts w:ascii="Arial" w:hAnsi="Arial" w:cs="Arial"/>
          <w:b/>
        </w:rPr>
        <w:t xml:space="preserve"> CADA 7.2 SEGUNDOS, UMA MULHER É</w:t>
      </w:r>
      <w:r w:rsidRPr="00961DF4">
        <w:rPr>
          <w:rFonts w:ascii="Arial" w:hAnsi="Arial" w:cs="Arial"/>
          <w:b/>
        </w:rPr>
        <w:t xml:space="preserve"> VÍTIMA DE VIOLÊNCIA FÍSICA; </w:t>
      </w:r>
    </w:p>
    <w:p w:rsidR="00961DF4" w:rsidRPr="00961DF4" w:rsidRDefault="00961DF4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961DF4">
        <w:rPr>
          <w:rFonts w:ascii="Arial" w:hAnsi="Arial" w:cs="Arial"/>
          <w:b/>
        </w:rPr>
        <w:t xml:space="preserve">A CADA 2 MINUTOS, UMA MULHER É VÍTIMA DE ARMA DE FOGO; </w:t>
      </w:r>
    </w:p>
    <w:p w:rsidR="00961DF4" w:rsidRPr="00961DF4" w:rsidRDefault="00961DF4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CADA 16.6 SEGUNDOS, UMA MUL</w:t>
      </w:r>
      <w:r w:rsidRPr="00961DF4">
        <w:rPr>
          <w:rFonts w:ascii="Arial" w:hAnsi="Arial" w:cs="Arial"/>
          <w:b/>
        </w:rPr>
        <w:t xml:space="preserve">HER É VÍTIMA DE AMEAÇA COM FACA OU ARMA DE FOGO; </w:t>
      </w:r>
    </w:p>
    <w:p w:rsidR="00961DF4" w:rsidRPr="00961DF4" w:rsidRDefault="00961DF4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961DF4">
        <w:rPr>
          <w:rFonts w:ascii="Arial" w:hAnsi="Arial" w:cs="Arial"/>
          <w:b/>
        </w:rPr>
        <w:t xml:space="preserve">A CADA 22.5 SEGUNDOS, UMA MULHER É VÍTIMA DE ESPANCAMENTO OU TENTATIVA DE ESTRANGULAMENTO; </w:t>
      </w:r>
    </w:p>
    <w:p w:rsidR="00961DF4" w:rsidRPr="00961DF4" w:rsidRDefault="00961DF4" w:rsidP="00961DF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961DF4">
        <w:rPr>
          <w:rFonts w:ascii="Arial" w:hAnsi="Arial" w:cs="Arial"/>
          <w:b/>
        </w:rPr>
        <w:t>A CADA 4,6 SE6UNDOS, UMA MULHER É VÍTIMA DE ASSÉDIO NO TRABALHO;</w:t>
      </w:r>
    </w:p>
    <w:p w:rsidR="00961DF4" w:rsidRDefault="00961DF4" w:rsidP="00E72BE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961DF4">
        <w:rPr>
          <w:rFonts w:ascii="Arial" w:hAnsi="Arial" w:cs="Arial"/>
        </w:rPr>
        <w:t>Conforme fundamento desta proposição, é justo que se apliquem as normas impeditivas a quem for condenado, em decisão tran</w:t>
      </w:r>
      <w:r w:rsidR="00E72BEC">
        <w:rPr>
          <w:rFonts w:ascii="Arial" w:hAnsi="Arial" w:cs="Arial"/>
        </w:rPr>
        <w:t xml:space="preserve">sitada em julgada ou proferida </w:t>
      </w:r>
      <w:r w:rsidRPr="00961DF4">
        <w:rPr>
          <w:rFonts w:ascii="Arial" w:hAnsi="Arial" w:cs="Arial"/>
        </w:rPr>
        <w:t xml:space="preserve">por órgão judicial colegiado pelos crimes de violência doméstica e familiar contra a mulher, impedindo seu </w:t>
      </w:r>
      <w:r w:rsidR="00E72BEC">
        <w:rPr>
          <w:rFonts w:ascii="Arial" w:hAnsi="Arial" w:cs="Arial"/>
        </w:rPr>
        <w:t>acesso ao serviço público.</w:t>
      </w:r>
    </w:p>
    <w:p w:rsidR="00E72BEC" w:rsidRDefault="00E72BEC" w:rsidP="00E72BE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Sob o prisma jurídico, este Projeto de Lei encontra fundamento na jurisprudência pátria, tend</w:t>
      </w:r>
      <w:r w:rsidRPr="00E72BEC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o </w:t>
      </w:r>
      <w:r w:rsidRPr="00E72BEC">
        <w:rPr>
          <w:rFonts w:ascii="Arial" w:hAnsi="Arial" w:cs="Arial"/>
        </w:rPr>
        <w:t>TJ/RS, no julgamento da  ADIN  nº  700746469</w:t>
      </w:r>
      <w:r>
        <w:rPr>
          <w:rFonts w:ascii="Arial" w:hAnsi="Arial" w:cs="Arial"/>
        </w:rPr>
        <w:t>69,  em  23/10/2017,  manifestado</w:t>
      </w:r>
      <w:r w:rsidRPr="00E72BEC">
        <w:rPr>
          <w:rFonts w:ascii="Arial" w:hAnsi="Arial" w:cs="Arial"/>
        </w:rPr>
        <w:t xml:space="preserve">,  por unanimidade, inspirados no julgamento do Supremo Tribunal Federal, RE nº 570.392/RS, onde a Ministra Carmen Lucia, ao tratar do  tema  nepotismo,  fixou  orientação  em  estar  inerente  no  sistema constitucional,  o  banimento  da  imoralidade  administrativa,  </w:t>
      </w:r>
      <w:r w:rsidRPr="00E72BEC">
        <w:rPr>
          <w:rFonts w:ascii="Arial" w:hAnsi="Arial" w:cs="Arial"/>
          <w:b/>
        </w:rPr>
        <w:t>reconhecendo legitimação ao legislativo para iniciativas de leis em seu resguardo</w:t>
      </w:r>
      <w:r>
        <w:rPr>
          <w:rFonts w:ascii="Arial" w:hAnsi="Arial" w:cs="Arial"/>
          <w:b/>
        </w:rPr>
        <w:t>.</w:t>
      </w:r>
    </w:p>
    <w:p w:rsidR="00E72BEC" w:rsidRPr="00E72BEC" w:rsidRDefault="00E72BEC" w:rsidP="00E72BE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E72BEC">
        <w:rPr>
          <w:rFonts w:ascii="Arial" w:hAnsi="Arial" w:cs="Arial"/>
        </w:rPr>
        <w:t>No</w:t>
      </w:r>
      <w:proofErr w:type="gramStart"/>
      <w:r w:rsidRPr="00E72BEC">
        <w:rPr>
          <w:rFonts w:ascii="Arial" w:hAnsi="Arial" w:cs="Arial"/>
        </w:rPr>
        <w:t xml:space="preserve">  </w:t>
      </w:r>
      <w:proofErr w:type="gramEnd"/>
      <w:r w:rsidRPr="00E72BEC">
        <w:rPr>
          <w:rFonts w:ascii="Arial" w:hAnsi="Arial" w:cs="Arial"/>
        </w:rPr>
        <w:t xml:space="preserve">referido  Acórdão,  destacou  o  nobre  relator,  Des. </w:t>
      </w:r>
      <w:proofErr w:type="spellStart"/>
      <w:r w:rsidRPr="00E72BEC">
        <w:rPr>
          <w:rFonts w:ascii="Arial" w:hAnsi="Arial" w:cs="Arial"/>
        </w:rPr>
        <w:t>Arminio</w:t>
      </w:r>
      <w:proofErr w:type="spellEnd"/>
      <w:r w:rsidRPr="00E72BEC">
        <w:rPr>
          <w:rFonts w:ascii="Arial" w:hAnsi="Arial" w:cs="Arial"/>
        </w:rPr>
        <w:t xml:space="preserve"> José Abreu lima da Rosa, no seu voto:</w:t>
      </w:r>
    </w:p>
    <w:p w:rsidR="00E72BEC" w:rsidRPr="00E72BEC" w:rsidRDefault="00E72BEC" w:rsidP="00E72BEC">
      <w:pPr>
        <w:spacing w:before="100" w:beforeAutospacing="1" w:after="100" w:afterAutospacing="1" w:line="360" w:lineRule="auto"/>
        <w:ind w:left="2268"/>
        <w:jc w:val="both"/>
        <w:rPr>
          <w:rFonts w:ascii="Arial" w:hAnsi="Arial" w:cs="Arial"/>
        </w:rPr>
      </w:pPr>
      <w:r w:rsidRPr="00E72BEC">
        <w:rPr>
          <w:rFonts w:ascii="Arial" w:hAnsi="Arial" w:cs="Arial"/>
        </w:rPr>
        <w:lastRenderedPageBreak/>
        <w:t>“(...</w:t>
      </w:r>
      <w:proofErr w:type="gramStart"/>
      <w:r w:rsidRPr="00E72BEC">
        <w:rPr>
          <w:rFonts w:ascii="Arial" w:hAnsi="Arial" w:cs="Arial"/>
        </w:rPr>
        <w:t>)Entretanto</w:t>
      </w:r>
      <w:proofErr w:type="gramEnd"/>
      <w:r w:rsidRPr="00E72BEC">
        <w:rPr>
          <w:rFonts w:ascii="Arial" w:hAnsi="Arial" w:cs="Arial"/>
        </w:rPr>
        <w:t xml:space="preserve">,  tem-se  distinguindo  regramento  das  chamadas  condições  para  o exercício  de  cargos  públicos,  notadamente  aqueles  comissionados,  entre  as quais apresenta lugar de destaque a moralidade administrativa (art. 37, caput, </w:t>
      </w:r>
      <w:r>
        <w:rPr>
          <w:rFonts w:ascii="Arial" w:hAnsi="Arial" w:cs="Arial"/>
        </w:rPr>
        <w:t xml:space="preserve">CF/88;  art.  19,  CE/89).  </w:t>
      </w:r>
      <w:r w:rsidRPr="00E72BEC">
        <w:rPr>
          <w:rFonts w:ascii="Arial" w:hAnsi="Arial" w:cs="Arial"/>
          <w:b/>
          <w:u w:val="single"/>
        </w:rPr>
        <w:t xml:space="preserve">Ou seja,  inexiste  a  restrição  referente  à  iniciativa legislativa quando se está diante da hipótese de adotar padrões éticos já contemplados na Constituição e que hão de ser observados pelos entes federados,  reconhecida  sua  eficácia  direta  e  aplicabilidade  imediata. </w:t>
      </w:r>
      <w:r w:rsidRPr="00E72BEC">
        <w:rPr>
          <w:rFonts w:ascii="Arial" w:hAnsi="Arial" w:cs="Arial"/>
        </w:rPr>
        <w:t>(grifei)</w:t>
      </w:r>
    </w:p>
    <w:p w:rsidR="00E72BEC" w:rsidRPr="00E72BEC" w:rsidRDefault="00E72BEC" w:rsidP="00E72BE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E72BEC">
        <w:rPr>
          <w:rFonts w:ascii="Arial" w:hAnsi="Arial" w:cs="Arial"/>
        </w:rPr>
        <w:t>Neste enfoque, destaca-se a conhecida decisão do Supremo Tribunal Federal no RE nº 570.392/RS, CÁRMEN LÚCIA:</w:t>
      </w:r>
    </w:p>
    <w:p w:rsidR="00E72BEC" w:rsidRPr="00E72BEC" w:rsidRDefault="00E72BEC" w:rsidP="00E72BEC">
      <w:pPr>
        <w:spacing w:before="100" w:beforeAutospacing="1" w:after="100" w:afterAutospacing="1" w:line="360" w:lineRule="auto"/>
        <w:ind w:left="2268"/>
        <w:jc w:val="both"/>
        <w:rPr>
          <w:rFonts w:ascii="Arial" w:hAnsi="Arial" w:cs="Arial"/>
        </w:rPr>
      </w:pPr>
      <w:r w:rsidRPr="00E72BEC">
        <w:rPr>
          <w:rFonts w:ascii="Arial" w:hAnsi="Arial" w:cs="Arial"/>
        </w:rPr>
        <w:t xml:space="preserve">RECURSO EXTRAORDINÁRIO. REPERCUSSÃO GERAL. LEI PROIBITIVA DE NEPOTISMO. VÍCIO FORMAL DE INICIATIVA LEGISLATIVA: INEXISTÊNCIA. NORMA COERENTE COM OS PRINCÍPIOS DO ART. 37, CAPUT, DA CONSTITUIÇÃO DA REPÚBLICA. RECURSO EXTRAORDINÁRIO PROVIDO. </w:t>
      </w:r>
    </w:p>
    <w:p w:rsidR="00E72BEC" w:rsidRPr="00E72BEC" w:rsidRDefault="00E72BEC" w:rsidP="00E72BEC">
      <w:pPr>
        <w:spacing w:before="100" w:beforeAutospacing="1" w:after="100" w:afterAutospacing="1" w:line="360" w:lineRule="auto"/>
        <w:ind w:left="2268"/>
        <w:jc w:val="both"/>
        <w:rPr>
          <w:rFonts w:ascii="Arial" w:hAnsi="Arial" w:cs="Arial"/>
        </w:rPr>
      </w:pPr>
      <w:r w:rsidRPr="00E72BEC">
        <w:rPr>
          <w:rFonts w:ascii="Arial" w:hAnsi="Arial" w:cs="Arial"/>
        </w:rPr>
        <w:t xml:space="preserve">1. O Procurador-Geral do Estado dispõe de legitimidade para interpor recurso extraordinário contra acórdão do Tribunal de Justiça proferido em representação de inconstitucionalidade (art. 125, § 2º, da Constituição da República) em defesa de lei ou ato normativo estadual ou municipal, em simetria a mesma competência atribuída ao Advogado-Geral da União (art. 103, § 3º, da Constituição da República). Teoria dos poderes implícitos. </w:t>
      </w:r>
    </w:p>
    <w:p w:rsidR="00961DF4" w:rsidRDefault="00E72BEC" w:rsidP="00E72BEC">
      <w:pPr>
        <w:spacing w:before="100" w:beforeAutospacing="1" w:after="100" w:afterAutospacing="1" w:line="360" w:lineRule="auto"/>
        <w:ind w:left="2268"/>
        <w:jc w:val="both"/>
        <w:rPr>
          <w:rFonts w:ascii="Arial" w:hAnsi="Arial" w:cs="Arial"/>
        </w:rPr>
      </w:pPr>
      <w:r w:rsidRPr="00E72BEC">
        <w:rPr>
          <w:rFonts w:ascii="Arial" w:hAnsi="Arial" w:cs="Arial"/>
        </w:rPr>
        <w:lastRenderedPageBreak/>
        <w:t xml:space="preserve">2. </w:t>
      </w:r>
      <w:r w:rsidRPr="00E72BEC">
        <w:rPr>
          <w:rFonts w:ascii="Arial" w:hAnsi="Arial" w:cs="Arial"/>
          <w:b/>
        </w:rPr>
        <w:t>Não é privativa do Chefe do Poder Executivo a competência para a iniciativa legislativa de lei sobre nepotismo na Administração Pública: leis com esse conteúdo normativo dão concretude aos princípios da moralidade e da impessoalidade do art. 37, caput, da Constituição da República, que, ademais, têm aplicabilidade imediata, ou seja, independente de lei.</w:t>
      </w:r>
      <w:r w:rsidRPr="00E72BEC">
        <w:rPr>
          <w:rFonts w:ascii="Arial" w:hAnsi="Arial" w:cs="Arial"/>
        </w:rPr>
        <w:t xml:space="preserve"> Precedentes. Súmula Vinculante n. 13. 3. Recurso extraordinário provido.</w:t>
      </w:r>
    </w:p>
    <w:p w:rsidR="00961DF4" w:rsidRDefault="001E799C" w:rsidP="00AE190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Tribunal de Justiça do Estado de São Paulo (TJ/SP) assim leciona:</w:t>
      </w:r>
    </w:p>
    <w:p w:rsidR="001E799C" w:rsidRDefault="001E799C" w:rsidP="001E799C">
      <w:pPr>
        <w:spacing w:before="100" w:beforeAutospacing="1" w:after="100" w:afterAutospacing="1" w:line="360" w:lineRule="auto"/>
        <w:ind w:left="2268"/>
        <w:jc w:val="both"/>
        <w:rPr>
          <w:rFonts w:ascii="Arial" w:hAnsi="Arial" w:cs="Arial"/>
        </w:rPr>
      </w:pPr>
      <w:r w:rsidRPr="001E799C">
        <w:rPr>
          <w:rFonts w:ascii="Arial" w:hAnsi="Arial" w:cs="Arial"/>
        </w:rPr>
        <w:t>AÇÃO</w:t>
      </w:r>
      <w:proofErr w:type="gramStart"/>
      <w:r w:rsidRPr="001E799C">
        <w:rPr>
          <w:rFonts w:ascii="Arial" w:hAnsi="Arial" w:cs="Arial"/>
        </w:rPr>
        <w:t xml:space="preserve">  </w:t>
      </w:r>
      <w:proofErr w:type="gramEnd"/>
      <w:r w:rsidRPr="001E799C">
        <w:rPr>
          <w:rFonts w:ascii="Arial" w:hAnsi="Arial" w:cs="Arial"/>
        </w:rPr>
        <w:t xml:space="preserve">DIRETA  DE  INCONSTITUCIONALIDADE  -  Lei  Municipal  n° 3.441, de 30  de  setembro  de  2011,  de  Mirassol  -  Projeto  de  iniciativa  de  Vereador  –Diploma legislativo que dispõe sobre a nomeação para cargos em comissão no âmbito  dos  órgãos  do  Poder  Executivo,  Poder  Legislativo  Municipal  e Autarquias  de  Mirassol  e  dá  outras  providências  –  Estabelecimento  de restrições à nomeação de pessoa para o exercício de função pública inerenteao cargo em comissão  -  Restrições semelhantes à estabelecida pela "Lei da Ficha Limpa" (LC n° 135/2010) - </w:t>
      </w:r>
      <w:r w:rsidRPr="001E799C">
        <w:rPr>
          <w:rFonts w:ascii="Arial" w:hAnsi="Arial" w:cs="Arial"/>
          <w:b/>
        </w:rPr>
        <w:t>Moralidade administrativa que se revela como princípio constitucional da mais alta envergadura</w:t>
      </w:r>
      <w:r w:rsidRPr="001E799C">
        <w:rPr>
          <w:rFonts w:ascii="Arial" w:hAnsi="Arial" w:cs="Arial"/>
        </w:rPr>
        <w:t xml:space="preserve"> - </w:t>
      </w:r>
      <w:r w:rsidRPr="001E799C">
        <w:rPr>
          <w:rFonts w:ascii="Arial" w:hAnsi="Arial" w:cs="Arial"/>
          <w:b/>
        </w:rPr>
        <w:t xml:space="preserve">Exigência de honorabilidade para o exercício da função pública que não se insere nas matérias de reserva de  iniciativa  legislativa  do  Chefe  do  Poder  Executivo  -  Ausente  o  vício  de iniciativa </w:t>
      </w:r>
      <w:r w:rsidRPr="001E799C">
        <w:rPr>
          <w:rFonts w:ascii="Arial" w:hAnsi="Arial" w:cs="Arial"/>
        </w:rPr>
        <w:t xml:space="preserve"> -  Exonerações de servidores contratados em descompasso com esta lei que não </w:t>
      </w:r>
      <w:r w:rsidRPr="001E799C">
        <w:rPr>
          <w:rFonts w:ascii="Arial" w:hAnsi="Arial" w:cs="Arial"/>
        </w:rPr>
        <w:lastRenderedPageBreak/>
        <w:t xml:space="preserve">consubstancia aplicação retroativa do diploma legal  -  Precedentes deste  Órgão  Especial  que  cuidaram  de  situações  análogas  neste  mesmo sentido  Lei  Municipal  reputada  constitucional  -  Ação  direta  de inconstitucionalidade  julgada  improcedente,  revogada  a  liminar”.  (ADIN  nº 0301346-30.2011.8.26.000, Rel. Des. De </w:t>
      </w:r>
      <w:proofErr w:type="spellStart"/>
      <w:r w:rsidRPr="001E799C">
        <w:rPr>
          <w:rFonts w:ascii="Arial" w:hAnsi="Arial" w:cs="Arial"/>
        </w:rPr>
        <w:t>Santi</w:t>
      </w:r>
      <w:proofErr w:type="spellEnd"/>
      <w:r w:rsidRPr="001E799C">
        <w:rPr>
          <w:rFonts w:ascii="Arial" w:hAnsi="Arial" w:cs="Arial"/>
        </w:rPr>
        <w:t xml:space="preserve"> Ribeiro, julgado em 30 de maio de 2012)</w:t>
      </w:r>
      <w:r>
        <w:rPr>
          <w:rFonts w:ascii="Arial" w:hAnsi="Arial" w:cs="Arial"/>
        </w:rPr>
        <w:t xml:space="preserve"> (grifei)</w:t>
      </w:r>
    </w:p>
    <w:p w:rsidR="001E799C" w:rsidRDefault="001E799C" w:rsidP="00B232FA">
      <w:pPr>
        <w:spacing w:before="100" w:beforeAutospacing="1" w:after="100" w:afterAutospacing="1" w:line="360" w:lineRule="auto"/>
        <w:ind w:left="2268"/>
        <w:jc w:val="both"/>
        <w:rPr>
          <w:rFonts w:ascii="Arial" w:hAnsi="Arial" w:cs="Arial"/>
        </w:rPr>
      </w:pPr>
      <w:r w:rsidRPr="001E799C">
        <w:rPr>
          <w:rFonts w:ascii="Arial" w:hAnsi="Arial" w:cs="Arial"/>
        </w:rPr>
        <w:t xml:space="preserve">Ação Direta de Inconstitucionalidade  —  Emenda n° 79/12, que acrescentou, à Lei Orgânica Municipal, o artigo 107-A, que estabelece vedações à nomeação de  servidores  para  o  exercício  de  funções  comissionadas  no  âmbito  da Administração  Pública  Municipal  -  Vício  de  inconstitucionalidade  formal  -Invasão  à  esfera  de  competência  privativa  do  Chefe  do  Poder  Executivo  -Inocorrência — </w:t>
      </w:r>
      <w:r w:rsidRPr="001E799C">
        <w:rPr>
          <w:rFonts w:ascii="Arial" w:hAnsi="Arial" w:cs="Arial"/>
          <w:b/>
        </w:rPr>
        <w:t>Estabelecimento de critérios para o acesso aos cargos públicos que  não  se  enquadra  em  atividade  privativa  do  Chefe  do  Executivo</w:t>
      </w:r>
      <w:r w:rsidRPr="001E799C">
        <w:rPr>
          <w:rFonts w:ascii="Arial" w:hAnsi="Arial" w:cs="Arial"/>
        </w:rPr>
        <w:t xml:space="preserve">  -Inexistência de ofensa à Constituição Bandeirante  -  Precedentes do Colendo Órgão  Especial  e  do  Supremo  Tribunal  Federal  -  Ação  julgada improcedente.  (ADIN</w:t>
      </w:r>
      <w:proofErr w:type="gramStart"/>
      <w:r w:rsidRPr="001E799C">
        <w:rPr>
          <w:rFonts w:ascii="Arial" w:hAnsi="Arial" w:cs="Arial"/>
        </w:rPr>
        <w:t xml:space="preserve">  </w:t>
      </w:r>
      <w:proofErr w:type="gramEnd"/>
      <w:r w:rsidRPr="001E799C">
        <w:rPr>
          <w:rFonts w:ascii="Arial" w:hAnsi="Arial" w:cs="Arial"/>
        </w:rPr>
        <w:t>nº  0131438-38.2012.8.26.0000,  Rel.  Des.  Castilho Barbosa, julgado em 27 de fevereiro de 2013)</w:t>
      </w:r>
      <w:r>
        <w:rPr>
          <w:rFonts w:ascii="Arial" w:hAnsi="Arial" w:cs="Arial"/>
        </w:rPr>
        <w:t xml:space="preserve"> (grifei)</w:t>
      </w:r>
    </w:p>
    <w:p w:rsidR="007D7AF0" w:rsidRPr="007D7AF0" w:rsidRDefault="001E799C" w:rsidP="00AE190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</w:t>
      </w:r>
      <w:r w:rsidR="00C027BB">
        <w:rPr>
          <w:rFonts w:ascii="Arial" w:hAnsi="Arial" w:cs="Arial"/>
        </w:rPr>
        <w:t>, peço qu</w:t>
      </w:r>
      <w:r w:rsidR="00DF26F2">
        <w:rPr>
          <w:rFonts w:ascii="Arial" w:hAnsi="Arial" w:cs="Arial"/>
        </w:rPr>
        <w:t>e este Projeto</w:t>
      </w:r>
      <w:r w:rsidR="00C027BB"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EE48A9" w:rsidRDefault="00EE48A9" w:rsidP="00C027BB">
      <w:pPr>
        <w:ind w:firstLine="2268"/>
        <w:jc w:val="both"/>
        <w:rPr>
          <w:rFonts w:ascii="Arial" w:hAnsi="Arial" w:cs="Arial"/>
          <w:b/>
        </w:rPr>
      </w:pPr>
    </w:p>
    <w:p w:rsidR="00B232FA" w:rsidRPr="00251817" w:rsidRDefault="00B232FA" w:rsidP="00B232FA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Diego Francisco</w:t>
      </w:r>
    </w:p>
    <w:p w:rsidR="00B232FA" w:rsidRPr="004F3B36" w:rsidRDefault="00B232FA" w:rsidP="00B232FA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 do PSDB</w:t>
      </w:r>
    </w:p>
    <w:p w:rsidR="00EE48A9" w:rsidRDefault="00EE48A9" w:rsidP="00C027BB">
      <w:pPr>
        <w:ind w:firstLine="2268"/>
        <w:jc w:val="both"/>
        <w:rPr>
          <w:rFonts w:ascii="Arial" w:hAnsi="Arial" w:cs="Arial"/>
          <w:b/>
        </w:rPr>
      </w:pP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9A2AC1" w:rsidRPr="0031693C" w:rsidRDefault="00B232FA" w:rsidP="00B232FA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                                    </w:t>
      </w:r>
      <w:r w:rsidR="00B57BB1" w:rsidRPr="0031693C">
        <w:rPr>
          <w:rFonts w:ascii="Arial" w:hAnsi="Arial" w:cs="Arial"/>
          <w:b/>
          <w:u w:val="single"/>
        </w:rPr>
        <w:t>PROJETO DE LEI</w:t>
      </w:r>
      <w:r w:rsidR="0031693C">
        <w:rPr>
          <w:rFonts w:ascii="Arial" w:hAnsi="Arial" w:cs="Arial"/>
          <w:b/>
          <w:u w:val="single"/>
        </w:rPr>
        <w:t xml:space="preserve"> Nº</w:t>
      </w:r>
      <w:r w:rsidR="008614A5">
        <w:rPr>
          <w:rFonts w:ascii="Arial" w:hAnsi="Arial" w:cs="Arial"/>
          <w:b/>
          <w:u w:val="single"/>
        </w:rPr>
        <w:t>0</w:t>
      </w:r>
      <w:bookmarkStart w:id="0" w:name="_GoBack"/>
      <w:bookmarkEnd w:id="0"/>
      <w:r w:rsidR="008614A5">
        <w:rPr>
          <w:rFonts w:ascii="Arial" w:hAnsi="Arial" w:cs="Arial"/>
          <w:b/>
          <w:u w:val="single"/>
        </w:rPr>
        <w:t>88</w:t>
      </w:r>
      <w:r w:rsidR="006B7BAE" w:rsidRPr="0031693C">
        <w:rPr>
          <w:rFonts w:ascii="Arial" w:hAnsi="Arial" w:cs="Arial"/>
          <w:b/>
          <w:u w:val="single"/>
        </w:rPr>
        <w:t xml:space="preserve"> - 2019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1E799C" w:rsidRPr="00B232FA" w:rsidRDefault="001E799C" w:rsidP="001E799C">
      <w:pPr>
        <w:spacing w:line="360" w:lineRule="auto"/>
        <w:ind w:left="2268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B232FA">
        <w:rPr>
          <w:rFonts w:ascii="Arial" w:hAnsi="Arial" w:cs="Arial"/>
          <w:b/>
          <w:sz w:val="22"/>
          <w:szCs w:val="22"/>
        </w:rPr>
        <w:t>ACRESCE DISPOSITIVO NA LEI MUNICIPAL Nº 2.225, DE 15 DE MAIO DE 2017, QUE: “</w:t>
      </w:r>
      <w:r w:rsidRPr="00B232FA">
        <w:rPr>
          <w:rFonts w:ascii="Arial" w:hAnsi="Arial" w:cs="Arial"/>
          <w:b/>
          <w:bCs/>
          <w:sz w:val="22"/>
          <w:szCs w:val="22"/>
        </w:rPr>
        <w:t>ESTABELECE LEI DA FICHA LIMPA MUNICIPAL, DISCIPLINA AS NOMEAÇÕES PARA CARGOS EM COMISSÃO E EFETIVO, NO ÂMBITO DO PODER EXECUTIVO E LEGISLATIVO MUNICIPAL DE ESTÂNCIA VELHA.”,</w:t>
      </w:r>
      <w:r w:rsidRPr="00B232FA">
        <w:rPr>
          <w:rFonts w:ascii="Arial" w:hAnsi="Arial" w:cs="Arial"/>
          <w:b/>
          <w:sz w:val="22"/>
          <w:szCs w:val="22"/>
        </w:rPr>
        <w:t xml:space="preserve"> VEDANDO A NOMEAÇÃO PARA OS CONDENADOS PELA LEI FEDERAL Nº 11.340, DE 07 DE AGOSTO DE 2006 – LEI MARIA DA PENHA</w:t>
      </w:r>
      <w:r w:rsidRPr="00B232FA">
        <w:rPr>
          <w:rFonts w:ascii="Arial" w:hAnsi="Arial" w:cs="Arial"/>
          <w:b/>
          <w:bCs/>
          <w:iCs/>
          <w:sz w:val="22"/>
          <w:szCs w:val="22"/>
        </w:rPr>
        <w:t>.”</w:t>
      </w:r>
      <w:proofErr w:type="gramEnd"/>
    </w:p>
    <w:p w:rsidR="0046643A" w:rsidRDefault="0046643A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F32CE" w:rsidRDefault="007C0652" w:rsidP="00842F19">
      <w:pPr>
        <w:spacing w:line="360" w:lineRule="auto"/>
        <w:ind w:firstLine="2268"/>
        <w:jc w:val="both"/>
        <w:rPr>
          <w:rFonts w:ascii="Arial" w:hAnsi="Arial" w:cs="Arial"/>
        </w:rPr>
      </w:pPr>
      <w:r w:rsidRPr="001E799C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>.</w:t>
      </w:r>
      <w:r w:rsidR="001E799C">
        <w:rPr>
          <w:rFonts w:ascii="Arial" w:hAnsi="Arial" w:cs="Arial"/>
        </w:rPr>
        <w:t>O Art. 1º</w:t>
      </w:r>
      <w:r w:rsidR="00842F19">
        <w:rPr>
          <w:rFonts w:ascii="Arial" w:hAnsi="Arial" w:cs="Arial"/>
        </w:rPr>
        <w:t>, inciso II,</w:t>
      </w:r>
      <w:r w:rsidR="001E799C">
        <w:rPr>
          <w:rFonts w:ascii="Arial" w:hAnsi="Arial" w:cs="Arial"/>
        </w:rPr>
        <w:t xml:space="preserve"> da </w:t>
      </w:r>
      <w:r w:rsidR="007C5B15">
        <w:rPr>
          <w:rFonts w:ascii="Arial" w:hAnsi="Arial" w:cs="Arial"/>
        </w:rPr>
        <w:t>Lei</w:t>
      </w:r>
      <w:r w:rsidR="008F32CE">
        <w:rPr>
          <w:rFonts w:ascii="Arial" w:hAnsi="Arial" w:cs="Arial"/>
        </w:rPr>
        <w:t xml:space="preserve"> Municipalnº 2.225, de 15 de maio de 2017, passa a vigoraracrescido da seguinte alínea:</w:t>
      </w:r>
    </w:p>
    <w:p w:rsidR="00002AFB" w:rsidRDefault="00002AFB" w:rsidP="00C027BB">
      <w:pPr>
        <w:spacing w:line="360" w:lineRule="auto"/>
        <w:ind w:firstLine="2268"/>
        <w:jc w:val="both"/>
        <w:rPr>
          <w:rFonts w:ascii="Arial" w:hAnsi="Arial" w:cs="Arial"/>
          <w:bCs/>
        </w:rPr>
      </w:pPr>
    </w:p>
    <w:p w:rsidR="0046643A" w:rsidRDefault="00002AFB" w:rsidP="00842F19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 w:rsidRPr="00002AFB">
        <w:rPr>
          <w:rFonts w:ascii="Arial" w:hAnsi="Arial" w:cs="Arial"/>
          <w:b/>
          <w:bCs/>
        </w:rPr>
        <w:t>“</w:t>
      </w:r>
      <w:proofErr w:type="gramStart"/>
      <w:r w:rsidR="00842F19" w:rsidRPr="00842F19">
        <w:rPr>
          <w:rFonts w:ascii="Arial" w:hAnsi="Arial" w:cs="Arial"/>
          <w:b/>
          <w:bCs/>
          <w:i/>
        </w:rPr>
        <w:t>k)</w:t>
      </w:r>
      <w:proofErr w:type="gramEnd"/>
      <w:r w:rsidR="00842F19">
        <w:rPr>
          <w:rFonts w:ascii="Arial" w:hAnsi="Arial" w:cs="Arial"/>
          <w:b/>
          <w:bCs/>
        </w:rPr>
        <w:t>caracterizados</w:t>
      </w:r>
      <w:r w:rsidR="00842F19" w:rsidRPr="00842F19">
        <w:rPr>
          <w:rFonts w:ascii="Arial" w:hAnsi="Arial" w:cs="Arial"/>
          <w:b/>
          <w:bCs/>
        </w:rPr>
        <w:t xml:space="preserve"> como violência doméstica e familiar contra a mulher,</w:t>
      </w:r>
      <w:r w:rsidR="008F32CE" w:rsidRPr="008F32CE">
        <w:rPr>
          <w:rFonts w:ascii="Arial" w:hAnsi="Arial" w:cs="Arial"/>
          <w:b/>
          <w:bCs/>
        </w:rPr>
        <w:t>nas condições previstas na Lei Federal nº 11.340, de 07 de agosto de 2006 (Lei Maria da Penha)</w:t>
      </w:r>
      <w:r w:rsidR="00842F19">
        <w:rPr>
          <w:rFonts w:ascii="Arial" w:hAnsi="Arial" w:cs="Arial"/>
          <w:b/>
          <w:bCs/>
        </w:rPr>
        <w:t>.”</w:t>
      </w:r>
    </w:p>
    <w:p w:rsidR="0046643A" w:rsidRDefault="0046643A" w:rsidP="0046643A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</w:p>
    <w:p w:rsidR="00F310EE" w:rsidRDefault="006B7BAE" w:rsidP="00B232FA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proofErr w:type="gramStart"/>
      <w:r>
        <w:rPr>
          <w:rFonts w:ascii="Arial" w:hAnsi="Arial" w:cs="Arial"/>
        </w:rPr>
        <w:t>2</w:t>
      </w:r>
      <w:r w:rsidR="00F87FA3">
        <w:rPr>
          <w:rFonts w:ascii="Arial" w:hAnsi="Arial" w:cs="Arial"/>
        </w:rPr>
        <w:t>º</w:t>
      </w:r>
      <w:r>
        <w:rPr>
          <w:rFonts w:ascii="Arial" w:hAnsi="Arial" w:cs="Arial"/>
        </w:rPr>
        <w:t>.</w:t>
      </w:r>
      <w:proofErr w:type="gramEnd"/>
      <w:r w:rsidR="00F87FA3" w:rsidRPr="004F3B36">
        <w:rPr>
          <w:rFonts w:ascii="Arial" w:hAnsi="Arial" w:cs="Arial"/>
        </w:rPr>
        <w:t xml:space="preserve">Esta lei entrará em </w:t>
      </w:r>
      <w:r w:rsidR="0031693C">
        <w:rPr>
          <w:rFonts w:ascii="Arial" w:hAnsi="Arial" w:cs="Arial"/>
        </w:rPr>
        <w:t>vigor na data de sua publicação</w:t>
      </w:r>
    </w:p>
    <w:p w:rsidR="00B232FA" w:rsidRDefault="00B232FA" w:rsidP="00B232F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MARIA IVETE DE GODOY GRADE</w:t>
      </w:r>
    </w:p>
    <w:p w:rsidR="00F87FA3" w:rsidRPr="004F3B36" w:rsidRDefault="00F87FA3" w:rsidP="00A404AE">
      <w:pPr>
        <w:autoSpaceDE w:val="0"/>
        <w:autoSpaceDN w:val="0"/>
        <w:adjustRightInd w:val="0"/>
        <w:spacing w:line="360" w:lineRule="auto"/>
        <w:ind w:left="1560" w:firstLine="70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F87FA3" w:rsidP="00B232FA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A20462">
        <w:rPr>
          <w:rFonts w:ascii="Arial" w:hAnsi="Arial" w:cs="Arial"/>
        </w:rPr>
        <w:t>.</w:t>
      </w:r>
      <w:r w:rsidR="00A20462">
        <w:rPr>
          <w:rFonts w:ascii="Arial" w:hAnsi="Arial" w:cs="Arial"/>
        </w:rPr>
        <w:tab/>
      </w:r>
      <w:r w:rsidR="00A20462">
        <w:rPr>
          <w:rFonts w:ascii="Arial" w:hAnsi="Arial" w:cs="Arial"/>
        </w:rPr>
        <w:tab/>
      </w:r>
      <w:r w:rsidR="00EF10C4"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sectPr w:rsidR="009A2AC1" w:rsidRPr="004F3B36" w:rsidSect="00B232FA">
      <w:pgSz w:w="11906" w:h="16838"/>
      <w:pgMar w:top="2694" w:right="1418" w:bottom="1985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2FA" w:rsidRDefault="00B232FA" w:rsidP="00961DF4">
      <w:r>
        <w:separator/>
      </w:r>
    </w:p>
  </w:endnote>
  <w:endnote w:type="continuationSeparator" w:id="1">
    <w:p w:rsidR="00B232FA" w:rsidRDefault="00B232FA" w:rsidP="00961D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2FA" w:rsidRDefault="00B232FA" w:rsidP="00961DF4">
      <w:r>
        <w:separator/>
      </w:r>
    </w:p>
  </w:footnote>
  <w:footnote w:type="continuationSeparator" w:id="1">
    <w:p w:rsidR="00B232FA" w:rsidRDefault="00B232FA" w:rsidP="00961DF4">
      <w:r>
        <w:continuationSeparator/>
      </w:r>
    </w:p>
  </w:footnote>
  <w:footnote w:id="2">
    <w:p w:rsidR="00B232FA" w:rsidRDefault="00B232FA">
      <w:pPr>
        <w:pStyle w:val="Textodenotaderodap"/>
      </w:pPr>
      <w:r>
        <w:rPr>
          <w:rStyle w:val="Refdenotaderodap"/>
        </w:rPr>
        <w:footnoteRef/>
      </w:r>
      <w:r w:rsidRPr="00961DF4">
        <w:rPr>
          <w:rFonts w:ascii="Arial" w:hAnsi="Arial" w:cs="Arial"/>
        </w:rPr>
        <w:t>https://www.relogiosdaviolencia.com.br/#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2AC1"/>
    <w:rsid w:val="00002AFB"/>
    <w:rsid w:val="000353CC"/>
    <w:rsid w:val="00054B85"/>
    <w:rsid w:val="000764C2"/>
    <w:rsid w:val="00122551"/>
    <w:rsid w:val="00142BDB"/>
    <w:rsid w:val="00142DEE"/>
    <w:rsid w:val="001B6B58"/>
    <w:rsid w:val="001E1834"/>
    <w:rsid w:val="001E799C"/>
    <w:rsid w:val="001F77AE"/>
    <w:rsid w:val="00240DA6"/>
    <w:rsid w:val="00251817"/>
    <w:rsid w:val="00273DC6"/>
    <w:rsid w:val="00282A00"/>
    <w:rsid w:val="002C6D53"/>
    <w:rsid w:val="002F6AE6"/>
    <w:rsid w:val="00315D44"/>
    <w:rsid w:val="0031693C"/>
    <w:rsid w:val="003229F5"/>
    <w:rsid w:val="003324E1"/>
    <w:rsid w:val="00351A7A"/>
    <w:rsid w:val="00397858"/>
    <w:rsid w:val="003D6CEC"/>
    <w:rsid w:val="003E6AA7"/>
    <w:rsid w:val="00404CE0"/>
    <w:rsid w:val="00454700"/>
    <w:rsid w:val="0046643A"/>
    <w:rsid w:val="00466E3F"/>
    <w:rsid w:val="00470C75"/>
    <w:rsid w:val="004A1155"/>
    <w:rsid w:val="004F3B36"/>
    <w:rsid w:val="005006F5"/>
    <w:rsid w:val="00506145"/>
    <w:rsid w:val="00544394"/>
    <w:rsid w:val="005827BD"/>
    <w:rsid w:val="00590612"/>
    <w:rsid w:val="005C097E"/>
    <w:rsid w:val="005C276A"/>
    <w:rsid w:val="005D6D77"/>
    <w:rsid w:val="005E6058"/>
    <w:rsid w:val="00627982"/>
    <w:rsid w:val="006466A9"/>
    <w:rsid w:val="00647015"/>
    <w:rsid w:val="00674F15"/>
    <w:rsid w:val="006A5A0E"/>
    <w:rsid w:val="006B7BAE"/>
    <w:rsid w:val="006E3EA5"/>
    <w:rsid w:val="007019CC"/>
    <w:rsid w:val="00705741"/>
    <w:rsid w:val="007175D8"/>
    <w:rsid w:val="00737F27"/>
    <w:rsid w:val="00763B48"/>
    <w:rsid w:val="007C0652"/>
    <w:rsid w:val="007C5B15"/>
    <w:rsid w:val="007D7AF0"/>
    <w:rsid w:val="00842F19"/>
    <w:rsid w:val="008614A5"/>
    <w:rsid w:val="00866A26"/>
    <w:rsid w:val="008B6F33"/>
    <w:rsid w:val="008F32CE"/>
    <w:rsid w:val="0093580A"/>
    <w:rsid w:val="00941FF0"/>
    <w:rsid w:val="00961DF4"/>
    <w:rsid w:val="009739EC"/>
    <w:rsid w:val="00996594"/>
    <w:rsid w:val="009A2AC1"/>
    <w:rsid w:val="009E4F50"/>
    <w:rsid w:val="009F601B"/>
    <w:rsid w:val="00A1140E"/>
    <w:rsid w:val="00A20462"/>
    <w:rsid w:val="00A404AE"/>
    <w:rsid w:val="00A73145"/>
    <w:rsid w:val="00AA09AC"/>
    <w:rsid w:val="00AB4639"/>
    <w:rsid w:val="00AE1903"/>
    <w:rsid w:val="00B22283"/>
    <w:rsid w:val="00B232FA"/>
    <w:rsid w:val="00B57BB1"/>
    <w:rsid w:val="00B6069B"/>
    <w:rsid w:val="00BA092E"/>
    <w:rsid w:val="00BB78ED"/>
    <w:rsid w:val="00BD3DC0"/>
    <w:rsid w:val="00C027BB"/>
    <w:rsid w:val="00C04806"/>
    <w:rsid w:val="00C108D0"/>
    <w:rsid w:val="00C8056E"/>
    <w:rsid w:val="00CD2A9F"/>
    <w:rsid w:val="00D00F5E"/>
    <w:rsid w:val="00D30AB0"/>
    <w:rsid w:val="00D83D2E"/>
    <w:rsid w:val="00DA2848"/>
    <w:rsid w:val="00DB4ECB"/>
    <w:rsid w:val="00DF26F2"/>
    <w:rsid w:val="00E13966"/>
    <w:rsid w:val="00E57974"/>
    <w:rsid w:val="00E71BF0"/>
    <w:rsid w:val="00E72BEC"/>
    <w:rsid w:val="00EE48A9"/>
    <w:rsid w:val="00EF10C4"/>
    <w:rsid w:val="00EF2E6F"/>
    <w:rsid w:val="00F236BB"/>
    <w:rsid w:val="00F310EE"/>
    <w:rsid w:val="00F456E9"/>
    <w:rsid w:val="00F60165"/>
    <w:rsid w:val="00F72C8D"/>
    <w:rsid w:val="00F87FA3"/>
    <w:rsid w:val="00F90913"/>
    <w:rsid w:val="00FA4C76"/>
    <w:rsid w:val="00FB4C21"/>
    <w:rsid w:val="00FE20BB"/>
    <w:rsid w:val="00FE3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097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rsid w:val="00961DF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961DF4"/>
  </w:style>
  <w:style w:type="character" w:styleId="Refdenotaderodap">
    <w:name w:val="footnote reference"/>
    <w:basedOn w:val="Fontepargpadro"/>
    <w:rsid w:val="00961DF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BB1A3-93A6-492D-A3B5-B0D325CD2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1120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Elaide</cp:lastModifiedBy>
  <cp:revision>5</cp:revision>
  <cp:lastPrinted>2019-03-20T13:42:00Z</cp:lastPrinted>
  <dcterms:created xsi:type="dcterms:W3CDTF">2019-11-06T14:08:00Z</dcterms:created>
  <dcterms:modified xsi:type="dcterms:W3CDTF">2019-11-12T12:15:00Z</dcterms:modified>
</cp:coreProperties>
</file>